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006136/07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זיו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20/02/2008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עמאש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אניס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סגרון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וכהן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גלעוז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סגרון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כהן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הליווי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צד_ג"/>
      <w:bookmarkStart w:id="16" w:name="צד_ג"/>
      <w:bookmarkEnd w:id="16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צד_ג"/>
      <w:bookmarkStart w:id="19" w:name="PsakDin"/>
      <w:bookmarkStart w:id="20" w:name="סוג_מסמך"/>
      <w:bookmarkEnd w:id="17"/>
      <w:bookmarkEnd w:id="18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)+(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3" w:name="ABSTRACT_START"/>
      <w:bookmarkEnd w:id="23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ולהפחידם</w:t>
      </w:r>
      <w:bookmarkStart w:id="24" w:name="ABSTRACT_END"/>
      <w:bookmarkEnd w:id="24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13.9.04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1064/04</w:t>
        </w:r>
      </w:hyperlink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2292/05</w:t>
        </w:r>
      </w:hyperlink>
      <w:r>
        <w:rPr>
          <w:rtl w:val="true"/>
        </w:rPr>
        <w:t xml:space="preserve">) </w:t>
      </w:r>
      <w:r>
        <w:rPr>
          <w:rtl w:val="true"/>
        </w:rPr>
        <w:t>ובימ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1064/04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1/9/07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bookmarkStart w:id="25" w:name="סוג_מסמך"/>
      <w:bookmarkEnd w:id="25"/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בנוכחות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ברכה בר זיו </w:t>
      </w:r>
      <w:r>
        <w:rPr>
          <w:rFonts w:cs="David" w:ascii="David" w:hAnsi="David"/>
          <w:color w:val="000000"/>
          <w:sz w:val="22"/>
          <w:szCs w:val="22"/>
        </w:rPr>
        <w:t>54678313-6136/07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ב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בר</w:t>
            </w:r>
            <w:r>
              <w:rPr>
                <w:b/>
                <w:bCs/>
                <w:color w:val="000000"/>
                <w:rtl w:val="true"/>
              </w:rPr>
              <w:t>-</w:t>
            </w:r>
            <w:r>
              <w:rPr>
                <w:b/>
                <w:b/>
                <w:bCs/>
                <w:color w:val="000000"/>
                <w:rtl w:val="true"/>
              </w:rPr>
              <w:t>זיו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color w:val="000000"/>
        </w:rPr>
      </w:pPr>
      <w:r>
        <w:rPr>
          <w:color w:val="000000"/>
          <w:sz w:val="16"/>
          <w:sz w:val="16"/>
          <w:szCs w:val="18"/>
          <w:rtl w:val="true"/>
        </w:rPr>
        <w:t>קלדנית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Cs w:val="18"/>
          <w:rtl w:val="true"/>
        </w:rPr>
        <w:t xml:space="preserve">- </w:t>
      </w:r>
      <w:r>
        <w:rPr>
          <w:color w:val="000000"/>
          <w:sz w:val="16"/>
          <w:sz w:val="16"/>
          <w:szCs w:val="18"/>
          <w:rtl w:val="true"/>
        </w:rPr>
        <w:t>עדי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שיטרית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/Users/liorb/Downloads/study2025-p2/m07006136-317.doc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6136/07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עמאש אניס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>
      <w:rFonts w:cs="David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14;&#1508;%201064/04" TargetMode="External"/><Relationship Id="rId6" Type="http://schemas.openxmlformats.org/officeDocument/2006/relationships/hyperlink" Target="http://www.nevo.co.il/links/psika/?link=&#1506;&#1508;%202292/05" TargetMode="External"/><Relationship Id="rId7" Type="http://schemas.openxmlformats.org/officeDocument/2006/relationships/hyperlink" Target="http://www.nevo.co.il/links/psika/?link=&#1514;&#1508;%201064/04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2008-02-20T20:25:00Z</dcterms:created>
  <dc:creator> </dc:creator>
  <dc:description/>
  <cp:keywords/>
  <dc:language>en-IL</dc:language>
  <cp:lastModifiedBy>home</cp:lastModifiedBy>
  <cp:lastPrinted>2008-02-20T12:12:00Z</cp:lastPrinted>
  <dcterms:modified xsi:type="dcterms:W3CDTF">2008-02-21T07:02:00Z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עמאש אניס</vt:lpwstr>
  </property>
  <property fmtid="{D5CDD505-2E9C-101B-9397-08002B2CF9AE}" pid="4" name="CITY">
    <vt:lpwstr>חי'</vt:lpwstr>
  </property>
  <property fmtid="{D5CDD505-2E9C-101B-9397-08002B2CF9AE}" pid="5" name="DATE">
    <vt:lpwstr>20080220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ברכה בר זיו</vt:lpwstr>
  </property>
  <property fmtid="{D5CDD505-2E9C-101B-9397-08002B2CF9AE}" pid="9" name="LAWYER">
    <vt:lpwstr>סגרון ג'קי הנר;כהן;גלעוז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6136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N_DATE">
    <vt:lpwstr>39020080220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