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240"/>
        <w:ind w:end="0"/>
        <w:jc w:val="center"/>
        <w:rPr>
          <w:b/>
          <w:bCs/>
        </w:rPr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822"/>
        <w:gridCol w:w="2093"/>
      </w:tblGrid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חיפה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 </w:t>
            </w:r>
            <w:r>
              <w:rPr>
                <w:b/>
                <w:bCs/>
                <w:szCs w:val="22"/>
              </w:rPr>
              <w:t>007014/08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בפני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כב</w:t>
            </w:r>
            <w:r>
              <w:rPr>
                <w:b/>
                <w:bCs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Cs w:val="22"/>
                <w:rtl w:val="true"/>
              </w:rPr>
              <w:t>ס</w:t>
            </w:r>
            <w:r>
              <w:rPr>
                <w:b/>
                <w:bCs/>
                <w:szCs w:val="22"/>
                <w:rtl w:val="true"/>
              </w:rPr>
              <w:t xml:space="preserve">. </w:t>
            </w:r>
            <w:r>
              <w:rPr>
                <w:b/>
                <w:b/>
                <w:bCs/>
                <w:szCs w:val="22"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א</w:t>
            </w:r>
            <w:r>
              <w:rPr>
                <w:b/>
                <w:bCs/>
                <w:szCs w:val="22"/>
                <w:rtl w:val="true"/>
              </w:rPr>
              <w:t xml:space="preserve">. </w:t>
            </w:r>
            <w:r>
              <w:rPr>
                <w:b/>
                <w:b/>
                <w:bCs/>
                <w:szCs w:val="22"/>
                <w:rtl w:val="true"/>
              </w:rPr>
              <w:t>שיף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תאריך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15/07/2008</w:t>
            </w:r>
          </w:p>
        </w:tc>
      </w:tr>
    </w:tbl>
    <w:p>
      <w:pPr>
        <w:pStyle w:val="Style1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  <w:bookmarkStart w:id="0" w:name="LastJudge"/>
      <w:bookmarkStart w:id="1" w:name="LastJudge"/>
      <w:bookmarkEnd w:id="1"/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709"/>
        <w:gridCol w:w="1048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820" w:type="dxa"/>
            <w:gridSpan w:val="3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  <w:tc>
          <w:tcPr>
            <w:tcW w:w="3772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048" w:type="dxa"/>
            <w:tcBorders/>
          </w:tcPr>
          <w:p>
            <w:pPr>
              <w:pStyle w:val="Style10"/>
              <w:ind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0"/>
              <w:ind w:end="0"/>
              <w:jc w:val="center"/>
              <w:rPr>
                <w:sz w:val="32"/>
                <w:szCs w:val="30"/>
              </w:rPr>
            </w:pPr>
            <w:r>
              <w:rPr>
                <w:sz w:val="32"/>
                <w:szCs w:val="30"/>
                <w:rtl w:val="true"/>
              </w:rPr>
              <w:t xml:space="preserve">- </w:t>
            </w:r>
            <w:r>
              <w:rPr>
                <w:sz w:val="32"/>
                <w:sz w:val="32"/>
                <w:szCs w:val="30"/>
                <w:rtl w:val="true"/>
              </w:rPr>
              <w:t>נ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sz w:val="32"/>
                <w:sz w:val="32"/>
                <w:szCs w:val="30"/>
                <w:rtl w:val="true"/>
              </w:rPr>
              <w:t>ג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sz w:val="32"/>
                <w:sz w:val="32"/>
                <w:szCs w:val="30"/>
                <w:rtl w:val="true"/>
              </w:rPr>
              <w:t>ד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sz w:val="32"/>
                <w:szCs w:val="30"/>
                <w:rtl w:val="true"/>
              </w:rPr>
              <w:t xml:space="preserve">- </w:t>
            </w:r>
          </w:p>
        </w:tc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0"/>
              <w:ind w:end="0"/>
              <w:jc w:val="both"/>
              <w:rPr/>
            </w:pPr>
            <w:bookmarkStart w:id="4" w:name="שם_ב"/>
            <w:r>
              <w:rPr>
                <w:rtl w:val="true"/>
              </w:rPr>
              <w:t>יעקב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אוסאמה</w:t>
            </w:r>
            <w:bookmarkEnd w:id="4"/>
          </w:p>
        </w:tc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bookmarkStart w:id="5" w:name="FirstLawyer"/>
            <w:bookmarkEnd w:id="5"/>
            <w:r>
              <w:rPr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ind w:end="0"/>
              <w:jc w:val="both"/>
              <w:rPr/>
            </w:pPr>
            <w:bookmarkStart w:id="6" w:name="בא_כוח_ב"/>
            <w:r>
              <w:rPr>
                <w:rtl w:val="true"/>
              </w:rPr>
              <w:t>בויראת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עאדל</w:t>
            </w:r>
            <w:bookmarkEnd w:id="6"/>
          </w:p>
        </w:tc>
        <w:tc>
          <w:tcPr>
            <w:tcW w:w="1757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</w:tbl>
    <w:p>
      <w:pPr>
        <w:pStyle w:val="Style1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זועבי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מייסא</w:t>
            </w:r>
          </w:p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באסל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פלאח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הדס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לירון</w:t>
            </w:r>
          </w:p>
          <w:p>
            <w:pPr>
              <w:pStyle w:val="Style10"/>
              <w:ind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7" w:name="LawTable"/>
      <w:bookmarkStart w:id="8" w:name="צד_ג"/>
      <w:bookmarkStart w:id="9" w:name="LawTable"/>
      <w:bookmarkStart w:id="10" w:name="צד_ג"/>
      <w:bookmarkEnd w:id="9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29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3" w:name="סוג_מסמך"/>
      <w:bookmarkStart w:id="14" w:name="סוג_מסמך"/>
      <w:bookmarkEnd w:id="14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5" w:name="סוג_מסמך"/>
      <w:bookmarkStart w:id="16" w:name="PsakDin"/>
      <w:bookmarkEnd w:id="15"/>
      <w:bookmarkEnd w:id="16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7" w:name="PsakDin"/>
      <w:bookmarkStart w:id="18" w:name="PsakDin"/>
      <w:bookmarkEnd w:id="18"/>
    </w:p>
    <w:p>
      <w:pPr>
        <w:pStyle w:val="Heading4"/>
        <w:ind w:hanging="720" w:start="720" w:end="0"/>
        <w:jc w:val="both"/>
        <w:rPr/>
      </w:pPr>
      <w:r>
        <w:rPr>
          <w:u w:val="none"/>
          <w:rtl w:val="true"/>
        </w:rPr>
        <w:t>א</w:t>
      </w:r>
      <w:r>
        <w:rPr>
          <w:u w:val="none"/>
          <w:rtl w:val="true"/>
        </w:rPr>
        <w:t>.</w:t>
        <w:tab/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Normal"/>
        <w:ind w:end="0"/>
        <w:jc w:val="both"/>
        <w:rPr/>
      </w:pPr>
      <w:bookmarkStart w:id="19" w:name="ABSTRACT_START"/>
      <w:bookmarkEnd w:id="1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רכישה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6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bookmarkStart w:id="20" w:name="ABSTRACT_END"/>
      <w:bookmarkEnd w:id="20"/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  <w:t>מכתב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ומהודיית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עולות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הבאות</w:t>
      </w:r>
      <w:r>
        <w:rPr>
          <w:u w:val="single"/>
          <w:rtl w:val="true"/>
        </w:rPr>
        <w:t>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386" w:leader="none"/>
        </w:tabs>
        <w:ind w:hanging="360" w:start="386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חמזה</w:t>
      </w:r>
      <w:r>
        <w:rPr>
          <w:rtl w:val="true"/>
        </w:rPr>
        <w:t xml:space="preserve">")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>").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386" w:leader="none"/>
        </w:tabs>
        <w:ind w:hanging="360" w:start="386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קידומה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tl w:val="true"/>
        </w:rPr>
        <w:t xml:space="preserve">") </w:t>
      </w:r>
      <w:r>
        <w:rPr>
          <w:rtl w:val="true"/>
        </w:rPr>
        <w:t>לקלקיליה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בקלקיליה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האקדח</w:t>
      </w:r>
      <w:r>
        <w:rPr>
          <w:rtl w:val="true"/>
        </w:rPr>
        <w:t xml:space="preserve">")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8,500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386" w:leader="none"/>
        </w:tabs>
        <w:ind w:hanging="360" w:start="386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386" w:leader="none"/>
        </w:tabs>
        <w:ind w:hanging="360" w:start="386"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חמזה</w:t>
      </w:r>
      <w:r>
        <w:rPr>
          <w:rtl w:val="true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386" w:leader="none"/>
        </w:tabs>
        <w:ind w:hanging="360" w:start="386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2/1/08</w:t>
      </w:r>
      <w:r>
        <w:rPr>
          <w:rtl w:val="true"/>
        </w:rPr>
        <w:t xml:space="preserve">,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0.22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Heading4"/>
        <w:ind w:hanging="720" w:start="720" w:end="0"/>
        <w:jc w:val="both"/>
        <w:rPr/>
      </w:pPr>
      <w:r>
        <w:rPr>
          <w:u w:val="none"/>
          <w:rtl w:val="true"/>
        </w:rPr>
        <w:t>ב</w:t>
      </w:r>
      <w:r>
        <w:rPr>
          <w:u w:val="none"/>
          <w:rtl w:val="true"/>
        </w:rPr>
        <w:t>.</w:t>
        <w:tab/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.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לקשייו</w:t>
      </w:r>
      <w:r>
        <w:rPr>
          <w:rtl w:val="true"/>
        </w:rPr>
        <w:t xml:space="preserve">,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וכשטות</w:t>
      </w:r>
      <w:r>
        <w:rPr>
          <w:rtl w:val="true"/>
        </w:rPr>
        <w:t xml:space="preserve">".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דבריו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לפאניקה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כמזכרת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.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tl w:val="true"/>
        </w:rPr>
        <w:t xml:space="preserve">,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ושליחותו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ותפקודית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tl w:val="true"/>
        </w:rPr>
        <w:t xml:space="preserve">. </w:t>
      </w:r>
      <w:r>
        <w:rPr>
          <w:rtl w:val="true"/>
        </w:rPr>
        <w:t>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טעות</w:t>
      </w:r>
      <w:r>
        <w:rPr>
          <w:rtl w:val="true"/>
        </w:rPr>
        <w:t xml:space="preserve">"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4"/>
        <w:ind w:hanging="720" w:start="720" w:end="0"/>
        <w:jc w:val="both"/>
        <w:rPr/>
      </w:pPr>
      <w:r>
        <w:rPr>
          <w:u w:val="none"/>
          <w:rtl w:val="true"/>
        </w:rPr>
        <w:t>ג</w:t>
      </w:r>
      <w:r>
        <w:rPr>
          <w:u w:val="none"/>
          <w:rtl w:val="true"/>
        </w:rPr>
        <w:t>.</w:t>
        <w:tab/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מטעם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יעקוב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וחרוץ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התנצלות</w:t>
      </w:r>
      <w:r>
        <w:rPr>
          <w:rtl w:val="true"/>
        </w:rPr>
        <w:t xml:space="preserve">,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ברכישתו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ותפקודית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דהסניגור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"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דברו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האחרון</w:t>
      </w:r>
      <w:r>
        <w:rPr>
          <w:u w:val="single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ind w:end="0"/>
        <w:jc w:val="both"/>
        <w:rPr/>
      </w:pP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יוצרת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8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6583/06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אגא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אדהאם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5/12/08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13"/>
        <w:ind w:end="567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ומחסנית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הפוטנציאלי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והרי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הסובבים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נקבע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למשל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קבעתי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בהחלטתי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/>
          <w:bCs/>
          <w:rtl w:val="true"/>
        </w:rPr>
        <w:t>רע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2718/04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>):</w:t>
      </w:r>
    </w:p>
    <w:p>
      <w:pPr>
        <w:pStyle w:val="Style13"/>
        <w:ind w:start="717" w:end="567"/>
        <w:jc w:val="both"/>
        <w:rPr>
          <w:b/>
          <w:bCs/>
        </w:rPr>
      </w:pP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>".</w:t>
      </w:r>
    </w:p>
    <w:p>
      <w:pPr>
        <w:pStyle w:val="Style13"/>
        <w:ind w:start="717"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צודקת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שבשלב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אתיחס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חומטין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. </w:t>
      </w:r>
      <w:r>
        <w:rPr>
          <w:rtl w:val="true"/>
        </w:rPr>
        <w:t>במסירת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לחמזה</w:t>
      </w:r>
      <w:r>
        <w:rPr>
          <w:rtl w:val="true"/>
        </w:rPr>
        <w:t xml:space="preserve">,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הנגלה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בתקופות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2/1/08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10/3/08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בתמוז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ביולי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2008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זכות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ערעור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העליון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מהיום</w:t>
      </w:r>
      <w:r>
        <w:rPr>
          <w:b/>
          <w:bCs/>
          <w:color w:val="000000"/>
          <w:rtl w:val="true"/>
        </w:rPr>
        <w:t xml:space="preserve">.  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ס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א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שיף </w:t>
      </w:r>
      <w:r>
        <w:rPr>
          <w:rFonts w:cs="David" w:ascii="David" w:hAnsi="David"/>
          <w:color w:val="000000"/>
          <w:sz w:val="22"/>
          <w:szCs w:val="22"/>
        </w:rPr>
        <w:t>54678313-7014/08</w:t>
      </w:r>
    </w:p>
    <w:p>
      <w:pPr>
        <w:pStyle w:val="Normal"/>
        <w:ind w:end="0"/>
        <w:jc w:val="both"/>
        <w:rPr>
          <w:b/>
          <w:bCs/>
          <w:color w:val="000000"/>
          <w:sz w:val="2"/>
          <w:szCs w:val="2"/>
        </w:rPr>
      </w:pPr>
      <w:r>
        <w:rPr>
          <w:b/>
          <w:bCs/>
          <w:color w:val="000000"/>
          <w:sz w:val="2"/>
          <w:szCs w:val="2"/>
        </w:rPr>
        <w:t>54678313</w:t>
      </w:r>
    </w:p>
    <w:tbl>
      <w:tblPr>
        <w:bidiVisual w:val="true"/>
        <w:tblW w:w="2235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שיף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1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sz w:val="12"/>
          <w:sz w:val="12"/>
          <w:szCs w:val="14"/>
          <w:rtl w:val="true"/>
        </w:rPr>
        <w:t>יהודית</w:t>
      </w:r>
      <w:r>
        <w:rPr>
          <w:rFonts w:cs="Times New Roman"/>
          <w:sz w:val="12"/>
          <w:sz w:val="12"/>
          <w:szCs w:val="14"/>
          <w:rtl w:val="true"/>
        </w:rPr>
        <w:t xml:space="preserve"> </w:t>
      </w:r>
      <w:r>
        <w:rPr>
          <w:sz w:val="12"/>
          <w:sz w:val="12"/>
          <w:szCs w:val="14"/>
          <w:rtl w:val="true"/>
        </w:rPr>
        <w:t>ד</w:t>
      </w:r>
      <w:r>
        <w:rPr>
          <w:sz w:val="12"/>
          <w:szCs w:val="14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9"/>
      <w:footerReference w:type="default" r:id="rId10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/Users/liorb/Downloads/study2025-p2/m08007014-367.doc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7014/08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יעקב אוסאמה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4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3">
    <w:name w:val="צטוט"/>
    <w:basedOn w:val="Normal"/>
    <w:qFormat/>
    <w:pPr>
      <w:ind w:hanging="0" w:start="567" w:end="567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29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case/6072945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2016-09-07T12:28:00Z</dcterms:created>
  <dc:creator> </dc:creator>
  <dc:description/>
  <cp:keywords/>
  <dc:language>en-IL</dc:language>
  <cp:lastModifiedBy>hofit</cp:lastModifiedBy>
  <cp:lastPrinted>2008-07-15T13:07:00Z</cp:lastPrinted>
  <dcterms:modified xsi:type="dcterms:W3CDTF">2016-09-07T12:28:00Z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יעקב אוסאמה</vt:lpwstr>
  </property>
  <property fmtid="{D5CDD505-2E9C-101B-9397-08002B2CF9AE}" pid="4" name="CASESLISTTMP1">
    <vt:lpwstr>6072945</vt:lpwstr>
  </property>
  <property fmtid="{D5CDD505-2E9C-101B-9397-08002B2CF9AE}" pid="5" name="CITY">
    <vt:lpwstr>חי'</vt:lpwstr>
  </property>
  <property fmtid="{D5CDD505-2E9C-101B-9397-08002B2CF9AE}" pid="6" name="DATE">
    <vt:lpwstr>20080715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ס. א. שיף</vt:lpwstr>
  </property>
  <property fmtid="{D5CDD505-2E9C-101B-9397-08002B2CF9AE}" pid="10" name="LAWLISTTMP1">
    <vt:lpwstr>70301/144.a:2;029</vt:lpwstr>
  </property>
  <property fmtid="{D5CDD505-2E9C-101B-9397-08002B2CF9AE}" pid="11" name="LAWYER">
    <vt:lpwstr>בויראת עאדל;גב' זועבי מייסא;באסל פלאח;גב' הדס לירון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7014</vt:lpwstr>
  </property>
  <property fmtid="{D5CDD505-2E9C-101B-9397-08002B2CF9AE}" pid="33" name="PROCYEAR">
    <vt:lpwstr>08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390020080715</vt:lpwstr>
  </property>
  <property fmtid="{D5CDD505-2E9C-101B-9397-08002B2CF9AE}" pid="37" name="TYPE_N_DATE">
    <vt:lpwstr>39020080715</vt:lpwstr>
  </property>
  <property fmtid="{D5CDD505-2E9C-101B-9397-08002B2CF9AE}" pid="38" name="VOLUME">
    <vt:lpwstr/>
  </property>
  <property fmtid="{D5CDD505-2E9C-101B-9397-08002B2CF9AE}" pid="39" name="WORDNUMPAGES">
    <vt:lpwstr>5</vt:lpwstr>
  </property>
</Properties>
</file>