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0" w:name="LastJudge"/>
      <w:bookmarkStart w:id="1" w:name="Tuta"/>
      <w:bookmarkStart w:id="2" w:name="LastJudge"/>
      <w:bookmarkStart w:id="3" w:name="Tuta"/>
      <w:bookmarkEnd w:id="2"/>
      <w:bookmarkEnd w:id="3"/>
    </w:p>
    <w:p>
      <w:pPr>
        <w:pStyle w:val="Heading3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5"/>
        <w:gridCol w:w="2260"/>
        <w:gridCol w:w="429"/>
        <w:gridCol w:w="4415"/>
        <w:gridCol w:w="902"/>
        <w:gridCol w:w="516"/>
      </w:tblGrid>
      <w:tr>
        <w:trPr/>
        <w:tc>
          <w:tcPr>
            <w:tcW w:w="125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2689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000809/02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 w:val="22"/>
                <w:szCs w:val="24"/>
              </w:rPr>
            </w:pPr>
            <w:bookmarkStart w:id="4" w:name="CaseNumIk"/>
            <w:r>
              <w:rPr>
                <w:rFonts w:cs="Times New Roman"/>
                <w:b/>
                <w:bCs/>
                <w:sz w:val="22"/>
                <w:szCs w:val="24"/>
                <w:rtl w:val="true"/>
              </w:rPr>
              <w:t xml:space="preserve"> </w:t>
            </w:r>
            <w:bookmarkEnd w:id="4"/>
          </w:p>
        </w:tc>
        <w:tc>
          <w:tcPr>
            <w:tcW w:w="5833" w:type="dxa"/>
            <w:gridSpan w:val="3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בחיפה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25" w:type="dxa"/>
            <w:tcBorders/>
          </w:tcPr>
          <w:p>
            <w:pPr>
              <w:pStyle w:val="Normal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689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5" w:name="Bifnei"/>
            <w:bookmarkStart w:id="6" w:name="Bifnei"/>
            <w:bookmarkEnd w:id="6"/>
          </w:p>
        </w:tc>
        <w:tc>
          <w:tcPr>
            <w:tcW w:w="5317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שפירא</w:t>
            </w:r>
          </w:p>
        </w:tc>
        <w:tc>
          <w:tcPr>
            <w:tcW w:w="516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238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bookmarkStart w:id="7" w:name="FirstAppellant"/>
            <w:bookmarkEnd w:id="7"/>
            <w:r>
              <w:rPr>
                <w:sz w:val="22"/>
                <w:sz w:val="22"/>
                <w:szCs w:val="24"/>
                <w:rtl w:val="true"/>
              </w:rPr>
              <w:t>המאשימה</w:t>
            </w:r>
          </w:p>
        </w:tc>
        <w:tc>
          <w:tcPr>
            <w:tcW w:w="4844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1418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6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</w:tr>
      <w:tr>
        <w:trPr/>
        <w:tc>
          <w:tcPr>
            <w:tcW w:w="238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5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4844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נגד</w:t>
            </w:r>
          </w:p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1418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5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238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5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הנאשם</w:t>
            </w:r>
          </w:p>
        </w:tc>
        <w:tc>
          <w:tcPr>
            <w:tcW w:w="4844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סאלח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אחמד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חרב</w:t>
            </w:r>
            <w:r>
              <w:rPr>
                <w:sz w:val="22"/>
                <w:szCs w:val="24"/>
                <w:rtl w:val="true"/>
              </w:rPr>
              <w:br/>
            </w:r>
            <w:r>
              <w:rPr>
                <w:sz w:val="22"/>
                <w:sz w:val="22"/>
                <w:szCs w:val="24"/>
                <w:rtl w:val="true"/>
              </w:rPr>
              <w:t>ת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ז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Cs w:val="24"/>
              </w:rPr>
              <w:t>028241875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יליד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Cs w:val="24"/>
              </w:rPr>
              <w:t>1971</w:t>
            </w:r>
            <w:r>
              <w:rPr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1418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5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</w:tbl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sz w:val="22"/>
          <w:szCs w:val="24"/>
          <w:u w:val="none"/>
        </w:rPr>
      </w:pPr>
      <w:r>
        <w:rPr>
          <w:rFonts w:cs="Times New Roman" w:ascii="Times New Roman" w:hAnsi="Times New Roman"/>
          <w:sz w:val="22"/>
          <w:szCs w:val="24"/>
          <w:u w:val="none"/>
          <w:rtl w:val="true"/>
        </w:rPr>
      </w:r>
    </w:p>
    <w:p>
      <w:pPr>
        <w:pStyle w:val="Tuta"/>
        <w:suppressLineNumbers w:val="0"/>
        <w:spacing w:lineRule="exact" w:line="320" w:before="0" w:after="80"/>
        <w:ind w:firstLine="283" w:end="0"/>
        <w:jc w:val="center"/>
        <w:rPr>
          <w:b/>
          <w:bCs/>
          <w:iCs w:val="false"/>
          <w:color w:val="000000"/>
          <w:sz w:val="22"/>
          <w:szCs w:val="24"/>
          <w:u w:val="single"/>
          <w:lang w:val="en-US" w:eastAsia="he-IL"/>
        </w:rPr>
      </w:pPr>
      <w:bookmarkStart w:id="8" w:name="LastJudge"/>
      <w:bookmarkStart w:id="9" w:name="PsakDin"/>
      <w:bookmarkStart w:id="10" w:name="Status"/>
      <w:bookmarkEnd w:id="8"/>
      <w:bookmarkEnd w:id="9"/>
      <w:bookmarkEnd w:id="10"/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גזר</w:t>
      </w:r>
      <w:r>
        <w:rPr>
          <w:rFonts w:cs="Times New Roman"/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דין</w:t>
      </w:r>
    </w:p>
    <w:p>
      <w:pPr>
        <w:pStyle w:val="Tuta"/>
        <w:suppressLineNumbers w:val="0"/>
        <w:spacing w:lineRule="exact" w:line="320" w:before="0" w:after="80"/>
        <w:ind w:firstLine="283" w:end="0"/>
        <w:jc w:val="both"/>
        <w:rPr>
          <w:b/>
          <w:bCs/>
          <w:iCs w:val="false"/>
          <w:color w:val="000000"/>
          <w:sz w:val="22"/>
          <w:szCs w:val="24"/>
          <w:u w:val="single"/>
          <w:lang w:val="en-US" w:eastAsia="he-IL"/>
        </w:rPr>
      </w:pPr>
      <w:r>
        <w:rPr>
          <w:b/>
          <w:bCs/>
          <w:iCs w:val="false"/>
          <w:color w:val="000000"/>
          <w:sz w:val="22"/>
          <w:szCs w:val="24"/>
          <w:u w:val="single"/>
          <w:rtl w:val="true"/>
          <w:lang w:val="en-US" w:eastAsia="he-IL"/>
        </w:rPr>
      </w:r>
      <w:bookmarkStart w:id="11" w:name="PsakDin"/>
      <w:bookmarkStart w:id="12" w:name="PsakDin"/>
      <w:bookmarkEnd w:id="12"/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הנאשם</w:t>
      </w:r>
    </w:p>
    <w:p>
      <w:pPr>
        <w:pStyle w:val="Style14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  <w:szCs w:val="24"/>
          <w:rtl w:val="true"/>
        </w:rPr>
        <w:tab/>
      </w:r>
      <w:bookmarkStart w:id="13" w:name="ABSTRACT_START"/>
      <w:bookmarkEnd w:id="13"/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הבאות</w:t>
      </w:r>
      <w:r>
        <w:rPr>
          <w:sz w:val="22"/>
          <w:szCs w:val="24"/>
          <w:rtl w:val="true"/>
        </w:rPr>
        <w:t xml:space="preserve">: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;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שיבוש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מהלכי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244</w:t>
      </w:r>
      <w:r>
        <w:rPr>
          <w:sz w:val="22"/>
          <w:szCs w:val="24"/>
          <w:rtl w:val="true"/>
        </w:rPr>
        <w:t xml:space="preserve"> +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;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סיוע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260</w:t>
      </w:r>
      <w:r>
        <w:rPr>
          <w:sz w:val="22"/>
          <w:szCs w:val="24"/>
          <w:rtl w:val="true"/>
        </w:rPr>
        <w:t xml:space="preserve"> + </w:t>
      </w:r>
      <w:r>
        <w:rPr>
          <w:sz w:val="22"/>
          <w:szCs w:val="24"/>
        </w:rPr>
        <w:t>261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>.</w:t>
      </w:r>
      <w:bookmarkStart w:id="14" w:name="ABSTRACT_END"/>
      <w:bookmarkEnd w:id="14"/>
      <w:r>
        <w:rPr>
          <w:sz w:val="22"/>
          <w:szCs w:val="24"/>
          <w:rtl w:val="true"/>
        </w:rPr>
        <w:t xml:space="preserve">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שהוחזק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לחברו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באמצעותו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נאסר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וסיפר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להמית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והמחסנית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הבחין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בסימני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ושיער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והסיר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סימנים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המעידים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ירכא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מכשיר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פלאפון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מפתחות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מכוניתו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המנוח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לשבש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החקירה</w:t>
      </w:r>
      <w:r>
        <w:rPr>
          <w:sz w:val="22"/>
          <w:szCs w:val="24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המפורטים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כמפורט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  <w:rtl w:val="true"/>
        </w:rPr>
        <w:t>.</w:t>
      </w:r>
      <w:r>
        <w:rPr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הטיעון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לעונש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עותרת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ממושך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בטיעונה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המפורט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מציינת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והסיוע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שהובטח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בדיעבד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בסיוע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ובחיפוי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דיווח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למשטרה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בדיעבד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להמלט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עותרת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ההולמת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הסנגור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קודמות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שיוחסו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שיפוטי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יקר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הסנגור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זקוק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צבאי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קרבית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בתאונת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מבעיות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רפואיות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כמפורט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במסמכים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שהוצגו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/.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קטינים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למשפחה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רחוקים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מעיסוק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בפלילים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טוען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מלכתחילה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צבאי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פסיכיאטרית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sz w:val="22"/>
          <w:szCs w:val="24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sz w:val="22"/>
          <w:szCs w:val="24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לענין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הענישה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בהרשעה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ולחיפוי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נעברות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בנפרד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הכולל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</w:t>
      </w:r>
      <w:r>
        <w:rPr>
          <w:sz w:val="22"/>
          <w:szCs w:val="24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מעיון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בהודעות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שהוגשו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שטוען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מלכתחילה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בשותפות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מפוקפקת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יצוין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להסתמך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כטענת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פתאומי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ונוקט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מיידית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הצטיידות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מראש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מצביעה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אפשרות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והעברת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גבוהה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מראש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כוונותיו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ולנקוט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המתבקשת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דהיינו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למסור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ולדווח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למשטרה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התנהגותו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מהאפשרות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הברורה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נזקף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לחובתו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בענישה</w:t>
      </w:r>
      <w:r>
        <w:rPr>
          <w:sz w:val="22"/>
          <w:szCs w:val="24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מדיניות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בענישה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להרחיב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כתוצאה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מהפצת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910/85</w:t>
      </w:r>
      <w:r>
        <w:rPr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אברהים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קונדוס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ואח</w:t>
      </w:r>
      <w:r>
        <w:rPr>
          <w:b/>
          <w:bCs/>
          <w:sz w:val="22"/>
          <w:szCs w:val="24"/>
          <w:u w:val="single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נ</w:t>
      </w:r>
      <w:r>
        <w:rPr>
          <w:b/>
          <w:bCs/>
          <w:sz w:val="22"/>
          <w:szCs w:val="24"/>
          <w:u w:val="single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פורסם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בתקדין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86/2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670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3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מהעובדה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נפוצה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מסכנת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רצינית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ידועים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חשוב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שתחדור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תושבי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הידיעה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שביודעין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לרשותו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צפוי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מכאיב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אפילו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מתכוון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מוגדר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בעזרת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sz w:val="22"/>
          <w:szCs w:val="24"/>
          <w:rtl w:val="true"/>
        </w:rPr>
        <w:t>."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בסיוע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מתממש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הסיכון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לכשעצמו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מעיד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כאלף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מדיניות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הראויה</w:t>
      </w:r>
      <w:r>
        <w:rPr>
          <w:sz w:val="22"/>
          <w:szCs w:val="24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נכונים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שנאמרו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6941/01</w:t>
      </w:r>
      <w:r>
        <w:rPr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נ</w:t>
      </w:r>
      <w:r>
        <w:rPr>
          <w:b/>
          <w:bCs/>
          <w:sz w:val="22"/>
          <w:szCs w:val="24"/>
          <w:u w:val="single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חיים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פינטו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פורסם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בתקדין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2002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Cs w:val="24"/>
        </w:rPr>
        <w:t>669</w:t>
      </w:r>
      <w:r>
        <w:rPr>
          <w:sz w:val="22"/>
          <w:szCs w:val="24"/>
          <w:rtl w:val="true"/>
        </w:rPr>
        <w:t>:</w:t>
      </w:r>
    </w:p>
    <w:p>
      <w:pPr>
        <w:pStyle w:val="Style13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"...</w:t>
      </w:r>
      <w:r>
        <w:rPr>
          <w:sz w:val="22"/>
          <w:sz w:val="22"/>
          <w:szCs w:val="24"/>
          <w:rtl w:val="true"/>
        </w:rPr>
        <w:t>ופעולות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יזומות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שנעשו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לקראת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מכירתו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להצביע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ואלמלא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סוכלה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נתפס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המסכנים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חבלניות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המסכנים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בבואו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להעניש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לאינטרס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בהרתעה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העבריין</w:t>
      </w:r>
      <w:r>
        <w:rPr>
          <w:sz w:val="22"/>
          <w:szCs w:val="24"/>
          <w:rtl w:val="true"/>
        </w:rPr>
        <w:t>."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המחוקק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מרתיעים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למבצעי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כוונת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החקיקה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להרתיע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להיותן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לתוצאות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גורמים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/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בבואנו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החקיקה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ומטרתה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סיסמא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מתוכן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ראה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2620/93</w:t>
      </w:r>
      <w:r>
        <w:rPr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פלוני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נ</w:t>
      </w:r>
      <w:r>
        <w:rPr>
          <w:b/>
          <w:bCs/>
          <w:sz w:val="22"/>
          <w:szCs w:val="24"/>
          <w:u w:val="single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וצרכיו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יילקחו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זכאים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להגנת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פוטנציאליים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b/>
          <w:b/>
          <w:bCs/>
          <w:sz w:val="22"/>
          <w:sz w:val="22"/>
          <w:szCs w:val="24"/>
          <w:rtl w:val="true"/>
        </w:rPr>
        <w:t>ע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4872/95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נ</w:t>
      </w:r>
      <w:r>
        <w:rPr>
          <w:b/>
          <w:bCs/>
          <w:sz w:val="22"/>
          <w:szCs w:val="24"/>
          <w:u w:val="single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גל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אילון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ו</w:t>
      </w:r>
      <w:r>
        <w:rPr>
          <w:b/>
          <w:bCs/>
          <w:sz w:val="22"/>
          <w:szCs w:val="24"/>
          <w:u w:val="single"/>
        </w:rPr>
        <w:t>2</w:t>
      </w:r>
      <w:r>
        <w:rPr>
          <w:b/>
          <w:bCs/>
          <w:sz w:val="22"/>
          <w:szCs w:val="24"/>
          <w:u w:val="single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אח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פ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נג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 xml:space="preserve">), 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עמ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Cs/>
          <w:sz w:val="22"/>
          <w:szCs w:val="24"/>
        </w:rPr>
        <w:t>8-9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המנחים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בבואנו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מבחינת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האינטרס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הציבורי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להטמיע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בחוק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סטנדרטים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התנהגות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חייב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לראותם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מיושמים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ולראות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חלק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בלתי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נפרד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מנוהגים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חברתיים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מקובלים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המגינים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גופו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רכושו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וכבודו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מתוכו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סלחנית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במקרים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התנהגות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עבריינית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חמורה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עלולה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להביא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להתמוטטות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עכבות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מוסריות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להתפרש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כהתפשרות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ערכים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נורמות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לפגוע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באמינות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מימושו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מאחורי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ולהעביר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שלילי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לעבריינים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פוטנציאליים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המועדים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לבצע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סוג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באותו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אופן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השתת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ממשי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בבחינת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ביטוי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חברתי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חריף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לגינוי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ראויים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המעשים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החמורים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אימוץ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הגישה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הסלחנית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תחליש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הכרת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האיסור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שבהתנהגות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הקורבן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נרצח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ואולם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ההכרח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שיבוש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מהלכי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ביודעין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שבשלב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באמצעות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להשמיד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בהעלמת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ביודעין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נפרדות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במובן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מצטבר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הצטברות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ענישה</w:t>
      </w:r>
      <w:r>
        <w:rPr>
          <w:sz w:val="22"/>
          <w:szCs w:val="24"/>
          <w:rtl w:val="true"/>
        </w:rPr>
        <w:t>: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4577/98</w:t>
      </w:r>
      <w:r>
        <w:rPr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אבי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דיין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נ</w:t>
      </w:r>
      <w:r>
        <w:rPr>
          <w:b/>
          <w:bCs/>
          <w:sz w:val="22"/>
          <w:szCs w:val="24"/>
          <w:u w:val="single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פורסם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Cs w:val="24"/>
        </w:rPr>
        <w:t>405</w:t>
      </w:r>
      <w:r>
        <w:rPr>
          <w:sz w:val="22"/>
          <w:szCs w:val="24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צידוק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מלכתחילה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ואולם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הנחה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לטובתו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שטעה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מראש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שמרגע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לפעול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מיידית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ולדווח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למשטרה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להענש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בהתאם</w:t>
      </w:r>
      <w:r>
        <w:rPr>
          <w:sz w:val="22"/>
          <w:szCs w:val="24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טיעוניו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הרפואי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נלקח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רפואי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והחסכון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שיפוטי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ואולם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ההתחשבות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במצוקותיו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ומרתיע</w:t>
      </w:r>
      <w:r>
        <w:rPr>
          <w:sz w:val="22"/>
          <w:szCs w:val="24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בשולי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להתייחס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יתכן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רשלנות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ואולם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הרפואי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לדווח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לנהוג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ולגלגל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האשמה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לפתחה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הרשיון</w:t>
      </w:r>
      <w:r>
        <w:rPr>
          <w:sz w:val="22"/>
          <w:szCs w:val="24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סיכום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הדין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בסיכומו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ששקלתי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כדלקמן</w:t>
      </w:r>
      <w:r>
        <w:rPr>
          <w:sz w:val="22"/>
          <w:szCs w:val="24"/>
          <w:rtl w:val="true"/>
        </w:rPr>
        <w:t>: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בביצוען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עליהן</w:t>
      </w:r>
      <w:r>
        <w:rPr>
          <w:sz w:val="22"/>
          <w:szCs w:val="24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שמניינן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13/11/02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תכין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פקודת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בהתאם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Cs/>
          <w:sz w:val="22"/>
          <w:szCs w:val="24"/>
        </w:rPr>
        <w:t>25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בפברואר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2003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הסנגור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ונציג</w:t>
      </w:r>
      <w:r>
        <w:rPr>
          <w:b/>
          <w:bCs/>
          <w:sz w:val="22"/>
          <w:szCs w:val="24"/>
          <w:rtl w:val="true"/>
        </w:rPr>
        <w:t>/</w:t>
      </w:r>
      <w:r>
        <w:rPr>
          <w:b/>
          <w:b/>
          <w:bCs/>
          <w:sz w:val="22"/>
          <w:sz w:val="22"/>
          <w:szCs w:val="24"/>
          <w:rtl w:val="true"/>
        </w:rPr>
        <w:t>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התביעה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מותר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לפרסום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Cs/>
          <w:sz w:val="22"/>
          <w:szCs w:val="24"/>
          <w:u w:val="single"/>
        </w:rPr>
        <w:t>25/02/2003</w:t>
      </w:r>
      <w:r>
        <w:rPr>
          <w:b/>
          <w:bCs/>
          <w:sz w:val="22"/>
          <w:szCs w:val="24"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Style14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Style11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ר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שפירא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/ </w:t>
      </w:r>
      <w:r>
        <w:rPr>
          <w:sz w:val="22"/>
          <w:szCs w:val="24"/>
          <w:rtl w:val="true"/>
        </w:rPr>
        <w:fldChar w:fldCharType="begin"/>
      </w:r>
      <w:r>
        <w:rPr>
          <w:rtl w:val="true"/>
          <w:sz w:val="22"/>
          <w:sz w:val="22"/>
          <w:szCs w:val="24"/>
        </w:rPr>
        <w:instrText xml:space="preserve"> FILENAME </w:instrText>
      </w:r>
      <w:r>
        <w:rPr>
          <w:rtl w:val="true"/>
          <w:sz w:val="22"/>
          <w:sz w:val="22"/>
          <w:szCs w:val="24"/>
        </w:rPr>
        <w:fldChar w:fldCharType="separate"/>
      </w:r>
      <w:r>
        <w:rPr>
          <w:rtl w:val="true"/>
          <w:sz w:val="22"/>
          <w:sz w:val="22"/>
          <w:szCs w:val="24"/>
        </w:rPr>
        <w:t>m02809.doc</w:t>
      </w:r>
      <w:r>
        <w:rPr>
          <w:rtl w:val="true"/>
          <w:sz w:val="22"/>
          <w:sz w:val="22"/>
          <w:szCs w:val="24"/>
        </w:rPr>
        <w:fldChar w:fldCharType="end"/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rtlGutter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  <w:szCs w:val="24"/>
      </w:rPr>
    </w:pPr>
    <w:r>
      <w:rPr>
        <w:rFonts w:cs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/>
      </w:rPr>
      <w:instrText xml:space="preserve"> PAGE </w:instrText>
    </w:r>
    <w:r>
      <w:rPr>
        <w:rtl w:val="true"/>
        <w:sz w:val="24"/>
        <w:szCs w:val="24"/>
        <w:rFonts w:cs="FrankRuehl"/>
      </w:rPr>
      <w:fldChar w:fldCharType="separate"/>
    </w:r>
    <w:r>
      <w:rPr>
        <w:rtl w:val="true"/>
        <w:sz w:val="24"/>
        <w:szCs w:val="24"/>
        <w:rFonts w:cs="FrankRuehl"/>
      </w:rPr>
      <w:t>5</w:t>
    </w:r>
    <w:r>
      <w:rPr>
        <w:rtl w:val="true"/>
        <w:sz w:val="24"/>
        <w:szCs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Cs w:val="22"/>
        <w:rtl w:val="true"/>
      </w:rPr>
      <w:t>נבו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"/>
        <w:color w:val="000000"/>
        <w:szCs w:val="22"/>
        <w:rtl w:val="true"/>
      </w:rPr>
      <w:t>הוצאה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"/>
        <w:color w:val="000000"/>
        <w:szCs w:val="22"/>
        <w:rtl w:val="true"/>
      </w:rPr>
      <w:t>לאור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"/>
        <w:color w:val="000000"/>
        <w:szCs w:val="22"/>
        <w:rtl w:val="true"/>
      </w:rPr>
      <w:t>בע</w:t>
    </w:r>
    <w:r>
      <w:rPr>
        <w:rFonts w:cs="TopType Jerushalmi"/>
        <w:color w:val="000000"/>
        <w:szCs w:val="22"/>
        <w:rtl w:val="true"/>
      </w:rPr>
      <w:t>"</w:t>
    </w:r>
    <w:r>
      <w:rPr>
        <w:rFonts w:cs="TopType Jerushalmi"/>
        <w:color w:val="000000"/>
        <w:szCs w:val="22"/>
        <w:rtl w:val="true"/>
      </w:rPr>
      <w:t>מ</w:t>
    </w:r>
    <w:r>
      <w:rPr>
        <w:rFonts w:cs="Times New Roman"/>
        <w:color w:val="000000"/>
        <w:szCs w:val="22"/>
        <w:rtl w:val="true"/>
      </w:rPr>
      <w:t xml:space="preserve">  </w:t>
    </w:r>
    <w:r>
      <w:rPr>
        <w:rFonts w:cs="TopType Jerushalmi"/>
        <w:color w:val="000000"/>
        <w:szCs w:val="22"/>
      </w:rPr>
      <w:t>nevo.co.il</w:t>
    </w:r>
    <w:r>
      <w:rPr>
        <w:rFonts w:cs="TopType Jerushalmi"/>
        <w:color w:val="000000"/>
        <w:szCs w:val="22"/>
        <w:rtl w:val="true"/>
      </w:rPr>
      <w:t xml:space="preserve">   </w:t>
    </w:r>
    <w:r>
      <w:rPr>
        <w:rFonts w:cs="TopType Jerushalmi"/>
        <w:color w:val="000000"/>
        <w:szCs w:val="22"/>
        <w:rtl w:val="true"/>
      </w:rPr>
      <w:t>המאגר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"/>
        <w:color w:val="000000"/>
        <w:szCs w:val="22"/>
        <w:rtl w:val="true"/>
      </w:rPr>
      <w:t>המשפטי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"/>
        <w:color w:val="000000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/Users/liorb/Downloads/study2025-p2/m02809.doc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809/02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סאלח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חרב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8"/>
      <w:szCs w:val="28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20" w:before="0" w:after="80"/>
      <w:ind w:firstLine="283" w:start="0" w:end="0"/>
      <w:jc w:val="center"/>
      <w:outlineLvl w:val="2"/>
    </w:pPr>
    <w:rPr>
      <w:b/>
      <w:bCs/>
      <w:sz w:val="22"/>
      <w:szCs w:val="24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0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1">
    <w:name w:val="חתימה"/>
    <w:basedOn w:val="Normal"/>
    <w:qFormat/>
    <w:pPr>
      <w:ind w:hanging="0" w:start="0" w:end="0"/>
      <w:jc w:val="center"/>
    </w:pPr>
    <w:rPr>
      <w:b/>
      <w:bCs/>
    </w:rPr>
  </w:style>
  <w:style w:type="paragraph" w:styleId="Style12">
    <w:name w:val="שאלה"/>
    <w:basedOn w:val="Normal"/>
    <w:next w:val="Style17"/>
    <w:qFormat/>
    <w:pPr>
      <w:ind w:hanging="567" w:start="567" w:end="0"/>
      <w:jc w:val="both"/>
    </w:pPr>
    <w:rPr>
      <w:b/>
      <w:bCs/>
      <w:szCs w:val="22"/>
    </w:rPr>
  </w:style>
  <w:style w:type="paragraph" w:styleId="Style13">
    <w:name w:val="ציטוט"/>
    <w:basedOn w:val="Normal"/>
    <w:qFormat/>
    <w:pPr>
      <w:spacing w:lineRule="auto" w:line="240"/>
      <w:ind w:hanging="0" w:start="1418" w:end="1418"/>
      <w:jc w:val="both"/>
    </w:pPr>
    <w:rPr>
      <w:b/>
      <w:bCs/>
    </w:rPr>
  </w:style>
  <w:style w:type="paragraph" w:styleId="Style14">
    <w:name w:val="רגיל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6">
    <w:name w:val="החלטה"/>
    <w:basedOn w:val="Style14"/>
    <w:qFormat/>
    <w:pPr>
      <w:ind w:hanging="0" w:start="0" w:end="0"/>
      <w:jc w:val="center"/>
    </w:pPr>
    <w:rPr/>
  </w:style>
  <w:style w:type="paragraph" w:styleId="Style17">
    <w:name w:val="תשובה"/>
    <w:basedOn w:val="Normal"/>
    <w:next w:val="Style18"/>
    <w:qFormat/>
    <w:pPr>
      <w:ind w:hanging="567" w:start="567" w:end="0"/>
      <w:jc w:val="both"/>
    </w:pPr>
    <w:rPr/>
  </w:style>
  <w:style w:type="paragraph" w:styleId="Style18">
    <w:name w:val="תשובה מוזח"/>
    <w:basedOn w:val="Style17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19">
    <w:name w:val="עד"/>
    <w:basedOn w:val="Style14"/>
    <w:qFormat/>
    <w:pPr>
      <w:ind w:hanging="0" w:start="0" w:end="0"/>
      <w:jc w:val="both"/>
    </w:pPr>
    <w:rPr/>
  </w:style>
  <w:style w:type="paragraph" w:styleId="Style20">
    <w:name w:val="חקירה"/>
    <w:basedOn w:val="Style19"/>
    <w:qFormat/>
    <w:pPr>
      <w:ind w:hanging="0" w:start="0" w:end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00080902p.dot</Template>
  <TotalTime>4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2003-07-27T15:16:00Z</dcterms:created>
  <dc:creator> </dc:creator>
  <dc:description/>
  <dc:language>en-IL</dc:language>
  <cp:lastModifiedBy>eli</cp:lastModifiedBy>
  <cp:lastPrinted>2003-02-24T14:36:00Z</cp:lastPrinted>
  <dcterms:modified xsi:type="dcterms:W3CDTF">2003-07-28T12:21:00Z</dcterms:modified>
  <cp:revision>4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סאלח בן אחמד חרב</vt:lpwstr>
  </property>
  <property fmtid="{D5CDD505-2E9C-101B-9397-08002B2CF9AE}" pid="4" name="CITY">
    <vt:lpwstr>חי'</vt:lpwstr>
  </property>
  <property fmtid="{D5CDD505-2E9C-101B-9397-08002B2CF9AE}" pid="5" name="DATE">
    <vt:lpwstr>20030225</vt:lpwstr>
  </property>
  <property fmtid="{D5CDD505-2E9C-101B-9397-08002B2CF9AE}" pid="6" name="ISABSTRACT">
    <vt:lpwstr>Y</vt:lpwstr>
  </property>
  <property fmtid="{D5CDD505-2E9C-101B-9397-08002B2CF9AE}" pid="7" name="JUDGE">
    <vt:lpwstr>ר. שפירא</vt:lpwstr>
  </property>
  <property fmtid="{D5CDD505-2E9C-101B-9397-08002B2CF9AE}" pid="8" name="LAWYER">
    <vt:lpwstr/>
  </property>
  <property fmtid="{D5CDD505-2E9C-101B-9397-08002B2CF9AE}" pid="9" name="LINKK1">
    <vt:lpwstr/>
  </property>
  <property fmtid="{D5CDD505-2E9C-101B-9397-08002B2CF9AE}" pid="10" name="LINKK2">
    <vt:lpwstr/>
  </property>
  <property fmtid="{D5CDD505-2E9C-101B-9397-08002B2CF9AE}" pid="11" name="LINKK3">
    <vt:lpwstr/>
  </property>
  <property fmtid="{D5CDD505-2E9C-101B-9397-08002B2CF9AE}" pid="12" name="LINKK4">
    <vt:lpwstr/>
  </property>
  <property fmtid="{D5CDD505-2E9C-101B-9397-08002B2CF9AE}" pid="13" name="LINKK5">
    <vt:lpwstr/>
  </property>
  <property fmtid="{D5CDD505-2E9C-101B-9397-08002B2CF9AE}" pid="14" name="LINKK6">
    <vt:lpwstr/>
  </property>
  <property fmtid="{D5CDD505-2E9C-101B-9397-08002B2CF9AE}" pid="15" name="LINKK7">
    <vt:lpwstr/>
  </property>
  <property fmtid="{D5CDD505-2E9C-101B-9397-08002B2CF9AE}" pid="16" name="NOSE1">
    <vt:lpwstr/>
  </property>
  <property fmtid="{D5CDD505-2E9C-101B-9397-08002B2CF9AE}" pid="17" name="NOSE2">
    <vt:lpwstr/>
  </property>
  <property fmtid="{D5CDD505-2E9C-101B-9397-08002B2CF9AE}" pid="18" name="NOSE3">
    <vt:lpwstr/>
  </property>
  <property fmtid="{D5CDD505-2E9C-101B-9397-08002B2CF9AE}" pid="19" name="PADIMAIL">
    <vt:lpwstr/>
  </property>
  <property fmtid="{D5CDD505-2E9C-101B-9397-08002B2CF9AE}" pid="20" name="PAGE">
    <vt:lpwstr/>
  </property>
  <property fmtid="{D5CDD505-2E9C-101B-9397-08002B2CF9AE}" pid="21" name="PART">
    <vt:lpwstr/>
  </property>
  <property fmtid="{D5CDD505-2E9C-101B-9397-08002B2CF9AE}" pid="22" name="PROCESS">
    <vt:lpwstr>תפ</vt:lpwstr>
  </property>
  <property fmtid="{D5CDD505-2E9C-101B-9397-08002B2CF9AE}" pid="23" name="PROCNUM">
    <vt:lpwstr>809</vt:lpwstr>
  </property>
  <property fmtid="{D5CDD505-2E9C-101B-9397-08002B2CF9AE}" pid="24" name="PROCYEAR">
    <vt:lpwstr>02</vt:lpwstr>
  </property>
  <property fmtid="{D5CDD505-2E9C-101B-9397-08002B2CF9AE}" pid="25" name="PSAKDIN">
    <vt:lpwstr>גזר-דין</vt:lpwstr>
  </property>
  <property fmtid="{D5CDD505-2E9C-101B-9397-08002B2CF9AE}" pid="26" name="TYPE">
    <vt:lpwstr>2</vt:lpwstr>
  </property>
  <property fmtid="{D5CDD505-2E9C-101B-9397-08002B2CF9AE}" pid="27" name="VOLUME">
    <vt:lpwstr/>
  </property>
  <property fmtid="{D5CDD505-2E9C-101B-9397-08002B2CF9AE}" pid="28" name="WORDNUMPAGES">
    <vt:lpwstr>5</vt:lpwstr>
  </property>
</Properties>
</file>