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5"/>
        <w:gridCol w:w="4673"/>
        <w:gridCol w:w="850"/>
        <w:gridCol w:w="2234"/>
      </w:tblGrid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טבריה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002539/05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פורת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27/02/2007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זהיא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פהים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שפיק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מרואן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מויס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מהסניגוריה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  <w:bookmarkStart w:id="4" w:name="סוג_מסמך"/>
      <w:bookmarkStart w:id="5" w:name="סוג_מסמך"/>
      <w:bookmarkEnd w:id="5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</w:rPr>
      </w:pPr>
      <w:r>
        <w:rPr>
          <w:rFonts w:cs="FrankRuehl"/>
          <w:rtl w:val="true"/>
        </w:rPr>
        <w:t>לפסק</w:t>
      </w:r>
      <w:r>
        <w:rPr>
          <w:rFonts w:cs="FrankRuehl"/>
          <w:rtl w:val="true"/>
        </w:rPr>
        <w:t>-</w:t>
      </w:r>
      <w:r>
        <w:rPr>
          <w:rFonts w:cs="FrankRuehl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במחוזי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2007-04-17</w:t>
      </w:r>
      <w:r>
        <w:rPr>
          <w:rFonts w:cs="FrankRuehl"/>
          <w:rtl w:val="true"/>
        </w:rPr>
        <w:t xml:space="preserve">): </w:t>
      </w:r>
      <w:hyperlink r:id="rId2">
        <w:r>
          <w:rPr>
            <w:rStyle w:val="Hyperlink"/>
            <w:rFonts w:cs="FrankRuehl"/>
            <w:rtl w:val="true"/>
          </w:rPr>
          <w:t>עפ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FrankRuehl"/>
          </w:rPr>
          <w:t>1060/07</w:t>
        </w:r>
      </w:hyperlink>
      <w:r>
        <w:rPr>
          <w:rFonts w:cs="FrankRuehl"/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אבו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זהיא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פהים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נ</w:t>
      </w:r>
      <w:r>
        <w:rPr>
          <w:rFonts w:cs="FrankRuehl"/>
          <w:color w:val="000000"/>
          <w:rtl w:val="true"/>
        </w:rPr>
        <w:t xml:space="preserve">' </w:t>
      </w:r>
      <w:r>
        <w:rPr>
          <w:rFonts w:cs="FrankRuehl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שופטים</w:t>
      </w:r>
      <w:r>
        <w:rPr>
          <w:rFonts w:cs="FrankRuehl"/>
          <w:rtl w:val="true"/>
        </w:rPr>
        <w:t xml:space="preserve">: </w:t>
      </w:r>
      <w:r>
        <w:rPr>
          <w:rFonts w:cs="FrankRuehl"/>
          <w:rtl w:val="true"/>
        </w:rPr>
        <w:t>זיאד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הווארי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גבריאלה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  <w:rtl w:val="true"/>
        </w:rPr>
        <w:t>דֶה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לֵיאו</w:t>
      </w:r>
      <w:r>
        <w:rPr>
          <w:rFonts w:cs="FrankRuehl"/>
          <w:rtl w:val="true"/>
        </w:rPr>
        <w:t xml:space="preserve">) </w:t>
      </w:r>
      <w:r>
        <w:rPr>
          <w:rFonts w:cs="FrankRuehl"/>
          <w:rtl w:val="true"/>
        </w:rPr>
        <w:t>לוי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הלמן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אסתר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ד</w:t>
      </w:r>
      <w:r>
        <w:rPr>
          <w:rFonts w:cs="FrankRuehl"/>
          <w:rtl w:val="true"/>
        </w:rPr>
        <w:t xml:space="preserve">: </w:t>
      </w:r>
      <w:r>
        <w:rPr>
          <w:rFonts w:cs="FrankRuehl"/>
          <w:rtl w:val="true"/>
        </w:rPr>
        <w:t>סיאגה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שירן</w:t>
      </w:r>
      <w:bookmarkStart w:id="6" w:name="LawTable"/>
      <w:bookmarkEnd w:id="6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ind w:end="0"/>
        <w:jc w:val="center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u w:val="single"/>
        </w:rPr>
      </w:pPr>
      <w:bookmarkStart w:id="9" w:name="LastJudge"/>
      <w:bookmarkStart w:id="10" w:name="PsakDin"/>
      <w:bookmarkEnd w:id="9"/>
      <w:bookmarkEnd w:id="10"/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end="0"/>
        <w:jc w:val="both"/>
        <w:rPr/>
      </w:pP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החזקת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רישא</w:t>
      </w:r>
      <w:r>
        <w:rPr>
          <w:color w:val="000000"/>
          <w:rtl w:val="true"/>
        </w:rPr>
        <w:t xml:space="preserve">+ </w:t>
      </w:r>
      <w:hyperlink r:id="rId8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ז–</w:t>
      </w:r>
      <w:r>
        <w:rPr>
          <w:color w:val="000000"/>
        </w:rPr>
        <w:t>1977</w:t>
      </w:r>
      <w:bookmarkStart w:id="14" w:name="ABSTRACT_END"/>
      <w:bookmarkEnd w:id="14"/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בקליפת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28.2.05</w:t>
      </w:r>
      <w:r>
        <w:rPr>
          <w:rtl w:val="true"/>
        </w:rPr>
        <w:t xml:space="preserve"> </w:t>
      </w:r>
      <w:r>
        <w:rPr>
          <w:rtl w:val="true"/>
        </w:rPr>
        <w:t>שכח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המתלונן</w:t>
      </w:r>
      <w:r>
        <w:rPr>
          <w:rtl w:val="true"/>
        </w:rPr>
        <w:t xml:space="preserve">") 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הזבל</w:t>
      </w:r>
      <w:r>
        <w:rPr>
          <w:rtl w:val="true"/>
        </w:rPr>
        <w:t xml:space="preserve">. 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2.3.05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</w:t>
      </w:r>
      <w:r>
        <w:rPr>
          <w:rtl w:val="true"/>
        </w:rPr>
        <w:t xml:space="preserve">, </w:t>
      </w:r>
      <w:r>
        <w:rPr>
          <w:rtl w:val="true"/>
        </w:rPr>
        <w:t>סמרטוטים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טיעונים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התביעה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בהמלצותיו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טיעונים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ההגנה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והאנרכיה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ישתפר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BodyText"/>
        <w:ind w:end="0"/>
        <w:jc w:val="both"/>
        <w:rPr/>
      </w:pP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חומרתם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צורך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להכביר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מילים</w:t>
      </w:r>
      <w:r>
        <w:rPr>
          <w:szCs w:val="24"/>
          <w:rtl w:val="true"/>
        </w:rPr>
        <w:t>.</w:t>
      </w:r>
      <w:r>
        <w:rPr>
          <w:b/>
          <w:bCs/>
          <w:szCs w:val="24"/>
          <w:rtl w:val="true"/>
        </w:rPr>
        <w:t xml:space="preserve"> </w:t>
      </w:r>
      <w:r>
        <w:rPr>
          <w:szCs w:val="24"/>
          <w:rtl w:val="true"/>
        </w:rPr>
        <w:t>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בכלל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חמורות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הכנתם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בקבוקי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תבערה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בפרט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טומנת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בחובה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סכנה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לביטחון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הציבור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ולסדר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הציבורי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אין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ספק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החזקת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בקבוקי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התבערה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נועדה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לפגוע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באנשים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כטענת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כתגובה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למהומות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שפרצו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בכפר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מג</w:t>
      </w:r>
      <w:r>
        <w:rPr>
          <w:szCs w:val="24"/>
          <w:rtl w:val="true"/>
        </w:rPr>
        <w:t>'</w:t>
      </w:r>
      <w:r>
        <w:rPr>
          <w:szCs w:val="24"/>
          <w:rtl w:val="true"/>
        </w:rPr>
        <w:t>אר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ניסה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להחזיק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כדין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שישתמש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בשעת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הצורך</w:t>
      </w:r>
      <w:r>
        <w:rPr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  <w:t>בתי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הביעו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דעתם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בדבר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מדיניות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הענישה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המחמירה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הראויה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החזקת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כדין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זאת</w:t>
      </w:r>
      <w:r>
        <w:rPr>
          <w:rFonts w:cs="Times New Roman"/>
          <w:szCs w:val="24"/>
          <w:rtl w:val="true"/>
        </w:rPr>
        <w:t xml:space="preserve">  </w:t>
      </w:r>
      <w:r>
        <w:rPr>
          <w:szCs w:val="24"/>
          <w:rtl w:val="true"/>
        </w:rPr>
        <w:t>לאור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המסוכנות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הרבה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שמגולמת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אלו</w:t>
      </w:r>
      <w:r>
        <w:rPr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end="0"/>
        <w:jc w:val="both"/>
        <w:rPr/>
      </w:pPr>
      <w:r>
        <w:rPr>
          <w:szCs w:val="24"/>
          <w:rtl w:val="true"/>
        </w:rPr>
        <w:t>בעת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גזירת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דינו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בביצוע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להשוות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נגד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עיניו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העונש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הראוי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שהמחוקק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ראה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לקבוע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בצידה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בגין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המחוקק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קבע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בכדי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עונשים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חמורים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בכך</w:t>
      </w:r>
      <w:r>
        <w:rPr>
          <w:rFonts w:cs="Times New Roman"/>
          <w:szCs w:val="24"/>
          <w:rtl w:val="true"/>
        </w:rPr>
        <w:t xml:space="preserve">  </w:t>
      </w:r>
      <w:r>
        <w:rPr>
          <w:szCs w:val="24"/>
          <w:rtl w:val="true"/>
        </w:rPr>
        <w:t>שקבע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עונש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7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בגין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hyperlink r:id="rId10">
        <w:r>
          <w:rPr>
            <w:rStyle w:val="Hyperlink"/>
            <w:szCs w:val="24"/>
            <w:rtl w:val="true"/>
          </w:rPr>
          <w:t>סעיף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</w:rPr>
          <w:t>144</w:t>
        </w:r>
        <w:r>
          <w:rPr>
            <w:rStyle w:val="Hyperlink"/>
            <w:szCs w:val="24"/>
            <w:rtl w:val="true"/>
          </w:rPr>
          <w:t>(</w:t>
        </w:r>
        <w:r>
          <w:rPr>
            <w:rStyle w:val="Hyperlink"/>
            <w:szCs w:val="24"/>
            <w:rtl w:val="true"/>
          </w:rPr>
          <w:t>א</w:t>
        </w:r>
        <w:r>
          <w:rPr>
            <w:rStyle w:val="Hyperlink"/>
            <w:szCs w:val="24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רישא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</w:t>
      </w:r>
      <w:hyperlink r:id="rId11">
        <w:r>
          <w:rPr>
            <w:rStyle w:val="Hyperlink"/>
            <w:szCs w:val="24"/>
            <w:rtl w:val="true"/>
          </w:rPr>
          <w:t>חוק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  <w:rtl w:val="true"/>
          </w:rPr>
          <w:t>העונשין</w:t>
        </w:r>
      </w:hyperlink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ועונש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בגין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hyperlink r:id="rId12">
        <w:r>
          <w:rPr>
            <w:rStyle w:val="Hyperlink"/>
            <w:szCs w:val="24"/>
            <w:rtl w:val="true"/>
          </w:rPr>
          <w:t>סעיף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</w:rPr>
          <w:t>144</w:t>
        </w:r>
        <w:r>
          <w:rPr>
            <w:rStyle w:val="Hyperlink"/>
            <w:szCs w:val="24"/>
            <w:rtl w:val="true"/>
          </w:rPr>
          <w:t>(</w:t>
        </w:r>
        <w:r>
          <w:rPr>
            <w:rStyle w:val="Hyperlink"/>
            <w:szCs w:val="24"/>
            <w:rtl w:val="true"/>
          </w:rPr>
          <w:t>ב</w:t>
        </w:r>
        <w:r>
          <w:rPr>
            <w:rStyle w:val="Hyperlink"/>
            <w:szCs w:val="24"/>
          </w:rPr>
          <w:t>2</w:t>
        </w:r>
        <w:r>
          <w:rPr>
            <w:rStyle w:val="Hyperlink"/>
            <w:szCs w:val="24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העונשין</w:t>
      </w:r>
      <w:r>
        <w:rPr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end="0"/>
        <w:jc w:val="both"/>
        <w:rPr/>
      </w:pPr>
      <w:r>
        <w:rPr>
          <w:szCs w:val="24"/>
          <w:rtl w:val="true"/>
        </w:rPr>
        <w:t>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העליון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התייחס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</w:t>
      </w:r>
      <w:hyperlink r:id="rId13">
        <w:r>
          <w:rPr>
            <w:rStyle w:val="Hyperlink"/>
            <w:szCs w:val="24"/>
            <w:rtl w:val="true"/>
          </w:rPr>
          <w:t>ע</w:t>
        </w:r>
        <w:r>
          <w:rPr>
            <w:rStyle w:val="Hyperlink"/>
            <w:szCs w:val="24"/>
            <w:rtl w:val="true"/>
          </w:rPr>
          <w:t>"</w:t>
        </w:r>
        <w:r>
          <w:rPr>
            <w:rStyle w:val="Hyperlink"/>
            <w:szCs w:val="24"/>
            <w:rtl w:val="true"/>
          </w:rPr>
          <w:t>פ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</w:rPr>
          <w:t>9511/01</w:t>
        </w:r>
      </w:hyperlink>
      <w:r>
        <w:rPr>
          <w:szCs w:val="24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קונסטנט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קובקוב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נגד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ישראל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דינים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עליון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כרך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עמ</w:t>
      </w:r>
      <w:r>
        <w:rPr>
          <w:szCs w:val="24"/>
          <w:rtl w:val="true"/>
        </w:rPr>
        <w:t xml:space="preserve">' </w:t>
      </w:r>
      <w:r>
        <w:rPr>
          <w:szCs w:val="24"/>
        </w:rPr>
        <w:t>974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למסוכנות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הנעוצה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בהכנת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בקבוקי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התבערה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שמהווים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כהגדרתו</w:t>
      </w:r>
      <w:r>
        <w:rPr>
          <w:rFonts w:cs="Times New Roman"/>
          <w:szCs w:val="24"/>
          <w:rtl w:val="true"/>
        </w:rPr>
        <w:t xml:space="preserve"> </w:t>
      </w:r>
      <w:hyperlink r:id="rId14">
        <w:r>
          <w:rPr>
            <w:rStyle w:val="Hyperlink"/>
            <w:szCs w:val="24"/>
            <w:rtl w:val="true"/>
          </w:rPr>
          <w:t>בסעיף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</w:rPr>
          <w:t>144</w:t>
        </w:r>
        <w:r>
          <w:rPr>
            <w:rStyle w:val="Hyperlink"/>
            <w:szCs w:val="24"/>
            <w:rtl w:val="true"/>
          </w:rPr>
          <w:t>(</w:t>
        </w:r>
        <w:r>
          <w:rPr>
            <w:rStyle w:val="Hyperlink"/>
            <w:szCs w:val="24"/>
            <w:rtl w:val="true"/>
          </w:rPr>
          <w:t>ג</w:t>
        </w:r>
        <w:r>
          <w:rPr>
            <w:rStyle w:val="Hyperlink"/>
            <w:szCs w:val="24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</w:t>
      </w:r>
      <w:hyperlink r:id="rId15">
        <w:r>
          <w:rPr>
            <w:rStyle w:val="Hyperlink"/>
            <w:szCs w:val="24"/>
            <w:rtl w:val="true"/>
          </w:rPr>
          <w:t>חוק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  <w:rtl w:val="true"/>
          </w:rPr>
          <w:t>העונשין</w:t>
        </w:r>
      </w:hyperlink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וקבע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בזו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הלשון</w:t>
      </w:r>
      <w:r>
        <w:rPr>
          <w:szCs w:val="24"/>
          <w:rtl w:val="true"/>
        </w:rPr>
        <w:t xml:space="preserve">: </w:t>
      </w:r>
    </w:p>
    <w:p>
      <w:pPr>
        <w:pStyle w:val="BodyText"/>
        <w:ind w:start="1440" w:end="993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  <w:t>"</w:t>
      </w:r>
      <w:r>
        <w:rPr>
          <w:b/>
          <w:b/>
          <w:bCs/>
          <w:szCs w:val="24"/>
          <w:rtl w:val="true"/>
        </w:rPr>
        <w:t>האלתור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כשלעצמו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והשימוש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ברכיבים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תמימים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באופיים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אינו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שולל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המוצר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המוגמר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אופיו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ככלי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נשק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סוגל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לכך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ואם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במבנהו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הסופי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הוא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נועד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להזיק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לאדם</w:t>
      </w:r>
      <w:r>
        <w:rPr>
          <w:b/>
          <w:bCs/>
          <w:szCs w:val="24"/>
          <w:rtl w:val="true"/>
        </w:rPr>
        <w:t xml:space="preserve">. </w:t>
      </w:r>
      <w:r>
        <w:rPr>
          <w:b/>
          <w:b/>
          <w:bCs/>
          <w:szCs w:val="24"/>
          <w:rtl w:val="true"/>
        </w:rPr>
        <w:t>כאשר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מדובר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בבקבוק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תבערה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אין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מדובר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בכלי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ייחודי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מקורי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אלא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בכלי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בעל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מאפיינים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מוכרים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שתכליתו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המקובלת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הינה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לשמש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נשק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פוגעני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ואף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קטלני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שהרכבו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הסופי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מעיד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אופיו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הפוגעני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ועל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תכלית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ייצורו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Cs/>
          <w:szCs w:val="24"/>
          <w:rtl w:val="true"/>
        </w:rPr>
        <w:t>(</w:t>
      </w:r>
      <w:r>
        <w:rPr>
          <w:b/>
          <w:b/>
          <w:bCs/>
          <w:szCs w:val="24"/>
          <w:rtl w:val="true"/>
        </w:rPr>
        <w:t>ראו</w:t>
      </w:r>
      <w:r>
        <w:rPr>
          <w:b/>
          <w:bCs/>
          <w:szCs w:val="24"/>
          <w:rtl w:val="true"/>
        </w:rPr>
        <w:t xml:space="preserve">: </w:t>
      </w:r>
      <w:r>
        <w:rPr>
          <w:b/>
          <w:b/>
          <w:bCs/>
          <w:szCs w:val="24"/>
          <w:rtl w:val="true"/>
        </w:rPr>
        <w:t>הגדרתו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המילונית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בקבוק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תבערה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במילון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ספיר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Cs/>
          <w:szCs w:val="24"/>
          <w:rtl w:val="true"/>
        </w:rPr>
        <w:t>(</w:t>
      </w:r>
      <w:r>
        <w:rPr>
          <w:b/>
          <w:b/>
          <w:bCs/>
          <w:szCs w:val="24"/>
          <w:rtl w:val="true"/>
        </w:rPr>
        <w:t>מהדורה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שנייה</w:t>
      </w:r>
      <w:r>
        <w:rPr>
          <w:b/>
          <w:bCs/>
          <w:szCs w:val="24"/>
          <w:rtl w:val="true"/>
        </w:rPr>
        <w:t>,</w:t>
      </w:r>
      <w:r>
        <w:rPr>
          <w:b/>
          <w:bCs/>
          <w:szCs w:val="24"/>
        </w:rPr>
        <w:t>1997</w:t>
      </w:r>
      <w:r>
        <w:rPr>
          <w:b/>
          <w:bCs/>
          <w:szCs w:val="24"/>
          <w:rtl w:val="true"/>
        </w:rPr>
        <w:t>) - "</w:t>
      </w:r>
      <w:r>
        <w:rPr>
          <w:b/>
          <w:b/>
          <w:bCs/>
          <w:szCs w:val="24"/>
          <w:rtl w:val="true"/>
        </w:rPr>
        <w:t>פצצה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מאולתרת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תוצרת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בית</w:t>
      </w:r>
      <w:r>
        <w:rPr>
          <w:b/>
          <w:bCs/>
          <w:szCs w:val="24"/>
          <w:rtl w:val="true"/>
        </w:rPr>
        <w:t>")."</w:t>
      </w:r>
    </w:p>
    <w:p>
      <w:pPr>
        <w:pStyle w:val="BodyText"/>
        <w:ind w:end="993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"/>
        <w:ind w:end="0"/>
        <w:jc w:val="both"/>
        <w:rPr/>
      </w:pPr>
      <w:r>
        <w:rPr>
          <w:szCs w:val="24"/>
          <w:rtl w:val="true"/>
        </w:rPr>
        <w:t>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המחוזי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(</w:t>
      </w:r>
      <w:r>
        <w:rPr>
          <w:szCs w:val="24"/>
          <w:rtl w:val="true"/>
        </w:rPr>
        <w:t>חיפה</w:t>
      </w:r>
      <w:r>
        <w:rPr>
          <w:szCs w:val="24"/>
          <w:rtl w:val="true"/>
        </w:rPr>
        <w:t>)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</w:t>
      </w:r>
      <w:hyperlink r:id="rId16">
        <w:r>
          <w:rPr>
            <w:rStyle w:val="Hyperlink"/>
            <w:b/>
            <w:b/>
            <w:bCs/>
            <w:szCs w:val="24"/>
            <w:rtl w:val="true"/>
          </w:rPr>
          <w:t>ת</w:t>
        </w:r>
        <w:r>
          <w:rPr>
            <w:rStyle w:val="Hyperlink"/>
            <w:b/>
            <w:bCs/>
            <w:szCs w:val="24"/>
            <w:rtl w:val="true"/>
          </w:rPr>
          <w:t>.</w:t>
        </w:r>
        <w:r>
          <w:rPr>
            <w:rStyle w:val="Hyperlink"/>
            <w:b/>
            <w:b/>
            <w:bCs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Cs w:val="24"/>
            <w:rtl w:val="true"/>
          </w:rPr>
          <w:t xml:space="preserve"> </w:t>
        </w:r>
        <w:r>
          <w:rPr>
            <w:rStyle w:val="Hyperlink"/>
            <w:b/>
            <w:bCs/>
            <w:szCs w:val="24"/>
          </w:rPr>
          <w:t>427/01</w:t>
        </w:r>
      </w:hyperlink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ישראל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נגד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דימטרי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מליק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Cs/>
          <w:szCs w:val="24"/>
          <w:rtl w:val="true"/>
        </w:rPr>
        <w:t xml:space="preserve">, </w:t>
      </w:r>
      <w:r>
        <w:rPr>
          <w:szCs w:val="24"/>
          <w:rtl w:val="true"/>
        </w:rPr>
        <w:t>דינים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מחוזי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כרך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לד</w:t>
      </w:r>
      <w:r>
        <w:rPr>
          <w:szCs w:val="24"/>
          <w:rtl w:val="true"/>
        </w:rPr>
        <w:t>(</w:t>
      </w:r>
      <w:r>
        <w:rPr>
          <w:szCs w:val="24"/>
        </w:rPr>
        <w:t>9</w:t>
      </w:r>
      <w:r>
        <w:rPr>
          <w:szCs w:val="24"/>
          <w:rtl w:val="true"/>
        </w:rPr>
        <w:t xml:space="preserve"> ), </w:t>
      </w:r>
      <w:r>
        <w:rPr>
          <w:szCs w:val="24"/>
          <w:rtl w:val="true"/>
        </w:rPr>
        <w:t>עמ</w:t>
      </w:r>
      <w:r>
        <w:rPr>
          <w:szCs w:val="24"/>
          <w:rtl w:val="true"/>
        </w:rPr>
        <w:t>'</w:t>
      </w:r>
      <w:r>
        <w:rPr>
          <w:szCs w:val="24"/>
        </w:rPr>
        <w:t>496</w:t>
      </w:r>
      <w:r>
        <w:rPr>
          <w:szCs w:val="24"/>
          <w:rtl w:val="true"/>
        </w:rPr>
        <w:t xml:space="preserve"> , </w:t>
      </w:r>
      <w:r>
        <w:rPr>
          <w:szCs w:val="24"/>
          <w:rtl w:val="true"/>
        </w:rPr>
        <w:t>התייחס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לחומרת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הכנת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בקבוקי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תבערה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בזו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הלשון</w:t>
      </w:r>
      <w:r>
        <w:rPr>
          <w:szCs w:val="24"/>
          <w:rtl w:val="true"/>
        </w:rPr>
        <w:t xml:space="preserve">: </w:t>
      </w:r>
    </w:p>
    <w:p>
      <w:pPr>
        <w:pStyle w:val="BodyText"/>
        <w:ind w:start="1440" w:end="993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  <w:t>"</w:t>
      </w:r>
      <w:r>
        <w:rPr>
          <w:b/>
          <w:b/>
          <w:bCs/>
          <w:szCs w:val="24"/>
          <w:rtl w:val="true"/>
        </w:rPr>
        <w:t>הכנתו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בקבוק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תבערה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הינה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הכנת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נשק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מסוכן</w:t>
      </w:r>
      <w:r>
        <w:rPr>
          <w:b/>
          <w:bCs/>
          <w:szCs w:val="24"/>
          <w:rtl w:val="true"/>
        </w:rPr>
        <w:t xml:space="preserve">. </w:t>
      </w:r>
      <w:r>
        <w:rPr>
          <w:b/>
          <w:b/>
          <w:bCs/>
          <w:szCs w:val="24"/>
          <w:rtl w:val="true"/>
        </w:rPr>
        <w:t>למרות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שמדובר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בנשק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פרימיטיבי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אין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ספק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שזהו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נשק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שפגיעתו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יכולה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להיות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קשה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וקטלנית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והשימוש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יכול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להסב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נזק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רב</w:t>
      </w:r>
      <w:r>
        <w:rPr>
          <w:b/>
          <w:bCs/>
          <w:szCs w:val="24"/>
          <w:rtl w:val="true"/>
        </w:rPr>
        <w:t>."</w:t>
      </w:r>
    </w:p>
    <w:p>
      <w:pPr>
        <w:pStyle w:val="BodyText"/>
        <w:ind w:end="993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"/>
        <w:ind w:end="0"/>
        <w:jc w:val="both"/>
        <w:rPr/>
      </w:pP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גזירת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דינו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להתחשב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במכלול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הנסיבות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המעשה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נסיבות</w:t>
      </w:r>
      <w:r>
        <w:rPr>
          <w:rFonts w:cs="Times New Roman"/>
          <w:szCs w:val="24"/>
          <w:rtl w:val="true"/>
        </w:rPr>
        <w:t xml:space="preserve">  </w:t>
      </w:r>
      <w:r>
        <w:rPr>
          <w:szCs w:val="24"/>
          <w:rtl w:val="true"/>
        </w:rPr>
        <w:t>העושה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יש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משקל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נכבד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יותר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לאינטרס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הציבורי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ולצורך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להרתיע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עבריינים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בכוח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מלבצע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דומות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הנסיבות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האישיות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העבריין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בעניין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ראה</w:t>
      </w:r>
      <w:r>
        <w:rPr>
          <w:szCs w:val="24"/>
          <w:rtl w:val="true"/>
        </w:rPr>
        <w:t xml:space="preserve">, </w:t>
      </w:r>
      <w:hyperlink r:id="rId17">
        <w:r>
          <w:rPr>
            <w:rStyle w:val="Hyperlink"/>
            <w:szCs w:val="24"/>
            <w:rtl w:val="true"/>
          </w:rPr>
          <w:t>ע</w:t>
        </w:r>
        <w:r>
          <w:rPr>
            <w:rStyle w:val="Hyperlink"/>
            <w:szCs w:val="24"/>
            <w:rtl w:val="true"/>
          </w:rPr>
          <w:t>"</w:t>
        </w:r>
        <w:r>
          <w:rPr>
            <w:rStyle w:val="Hyperlink"/>
            <w:szCs w:val="24"/>
            <w:rtl w:val="true"/>
          </w:rPr>
          <w:t>פ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</w:rPr>
          <w:t>5066/98</w:t>
        </w:r>
      </w:hyperlink>
      <w:r>
        <w:rPr>
          <w:szCs w:val="24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ישראל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נ</w:t>
      </w:r>
      <w:r>
        <w:rPr>
          <w:b/>
          <w:bCs/>
          <w:szCs w:val="24"/>
          <w:u w:val="single"/>
          <w:rtl w:val="true"/>
        </w:rPr>
        <w:t xml:space="preserve">' </w:t>
      </w:r>
      <w:r>
        <w:rPr>
          <w:b/>
          <w:b/>
          <w:bCs/>
          <w:szCs w:val="24"/>
          <w:u w:val="single"/>
          <w:rtl w:val="true"/>
        </w:rPr>
        <w:t>ניעמן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דחלה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ואח</w:t>
      </w:r>
      <w:r>
        <w:rPr>
          <w:b/>
          <w:bCs/>
          <w:szCs w:val="24"/>
          <w:u w:val="single"/>
          <w:rtl w:val="true"/>
        </w:rPr>
        <w:t>'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תק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99</w:t>
      </w:r>
      <w:r>
        <w:rPr>
          <w:szCs w:val="24"/>
          <w:rtl w:val="true"/>
        </w:rPr>
        <w:t>(</w:t>
      </w:r>
      <w:r>
        <w:rPr>
          <w:szCs w:val="24"/>
        </w:rPr>
        <w:t>3</w:t>
      </w:r>
      <w:r>
        <w:rPr>
          <w:szCs w:val="24"/>
          <w:rtl w:val="true"/>
        </w:rPr>
        <w:t xml:space="preserve">), </w:t>
      </w:r>
      <w:r>
        <w:rPr>
          <w:szCs w:val="24"/>
        </w:rPr>
        <w:t>1574</w:t>
      </w:r>
      <w:r>
        <w:rPr>
          <w:szCs w:val="24"/>
          <w:rtl w:val="true"/>
        </w:rPr>
        <w:t>.</w:t>
      </w:r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באשר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לנסיבות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העושה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יליד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שנת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1960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לחובתו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הרשעות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קודמות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רבות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היתר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בגין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עבירות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איומים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היזק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לרכוש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תקיפה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סתם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ותקיפת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שוטר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במילוי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תפקידו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מאלכוהול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חזרתי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הריבון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  </w:t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/>
          <w:bCs/>
          <w:szCs w:val="24"/>
          <w:rtl w:val="true"/>
        </w:rPr>
        <w:t>חזרתי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ונתתי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דעתי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לנסיבותיו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האישיות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הנאשם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ולעובדה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שחסך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מזמנו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הציבור</w:t>
      </w:r>
      <w:r>
        <w:rPr>
          <w:b/>
          <w:bCs/>
          <w:szCs w:val="24"/>
          <w:rtl w:val="true"/>
        </w:rPr>
        <w:t>.</w:t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/>
          <w:bCs/>
          <w:szCs w:val="24"/>
          <w:rtl w:val="true"/>
        </w:rPr>
        <w:t>בהתחשב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בהודאת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הנאשם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ובטיעוני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שני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הצדדים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לעונש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אני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דן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הנאשם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לעונשים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הבאים</w:t>
      </w:r>
      <w:r>
        <w:rPr>
          <w:b/>
          <w:bCs/>
          <w:szCs w:val="24"/>
          <w:rtl w:val="true"/>
        </w:rPr>
        <w:t>:</w:t>
      </w:r>
    </w:p>
    <w:p>
      <w:pPr>
        <w:pStyle w:val="BodyText2"/>
        <w:ind w:hanging="720" w:start="720"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2"/>
        <w:ind w:end="0"/>
        <w:jc w:val="both"/>
        <w:rPr>
          <w:szCs w:val="24"/>
        </w:rPr>
      </w:pP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מטיל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לתקופה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מהם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12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בפועל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והיתרה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תנאי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למשך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והתנאי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יעבור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ויורשע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בכתב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szCs w:val="24"/>
          <w:rtl w:val="true"/>
        </w:rPr>
        <w:t>.</w:t>
      </w:r>
    </w:p>
    <w:p>
      <w:pPr>
        <w:pStyle w:val="BodyText2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2"/>
        <w:ind w:end="0"/>
        <w:jc w:val="both"/>
        <w:rPr>
          <w:szCs w:val="24"/>
        </w:rPr>
      </w:pP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מימי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לנכות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ימי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המעצר</w:t>
      </w:r>
      <w:r>
        <w:rPr>
          <w:szCs w:val="24"/>
          <w:rtl w:val="true"/>
        </w:rPr>
        <w:t xml:space="preserve">. </w:t>
      </w:r>
    </w:p>
    <w:p>
      <w:pPr>
        <w:pStyle w:val="BodyText2"/>
        <w:ind w:end="0"/>
        <w:jc w:val="both"/>
        <w:rPr>
          <w:b/>
          <w:bCs/>
          <w:szCs w:val="24"/>
        </w:rPr>
      </w:pPr>
      <w:r>
        <w:rPr>
          <w:b/>
          <w:b/>
          <w:bCs/>
          <w:szCs w:val="24"/>
          <w:rtl w:val="true"/>
        </w:rPr>
        <w:t>זכות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ערעור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תוך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Cs/>
          <w:szCs w:val="24"/>
        </w:rPr>
        <w:t>45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יום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מהיום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בבית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משפט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המחוזי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בנצרת</w:t>
      </w:r>
      <w:r>
        <w:rPr>
          <w:b/>
          <w:bCs/>
          <w:szCs w:val="24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bookmarkStart w:id="15" w:name="Decision2"/>
      <w:bookmarkEnd w:id="15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והסניגור</w:t>
      </w:r>
      <w:r>
        <w:rPr>
          <w:b/>
          <w:bCs/>
          <w:rtl w:val="true"/>
        </w:rPr>
        <w:t xml:space="preserve">. </w:t>
      </w:r>
    </w:p>
    <w:tbl>
      <w:tblPr>
        <w:tblW w:w="1944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4"/>
      </w:tblGrid>
      <w:tr>
        <w:trPr/>
        <w:tc>
          <w:tcPr>
            <w:tcW w:w="194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BodyText2"/>
        <w:ind w:end="0"/>
        <w:jc w:val="both"/>
        <w:rPr/>
      </w:pPr>
      <w:bookmarkStart w:id="16" w:name="Decision2"/>
      <w:bookmarkEnd w:id="16"/>
      <w:r>
        <w:rPr>
          <w:b/>
          <w:b/>
          <w:bCs/>
          <w:szCs w:val="24"/>
          <w:u w:val="single"/>
          <w:rtl w:val="true"/>
        </w:rPr>
        <w:t>הסניגור</w:t>
      </w:r>
      <w:r>
        <w:rPr>
          <w:b/>
          <w:bCs/>
          <w:szCs w:val="24"/>
          <w:rtl w:val="true"/>
        </w:rPr>
        <w:t xml:space="preserve">: </w:t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מבקש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ירצה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עונשו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בעוד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כשבוע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שוחרר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בתנאים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מגבילים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מציעים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אותם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תנאי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שחרור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יעמדו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כנם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נמצא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כעת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בחו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והשני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בצבא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רוצה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להפרד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כניסתו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לכלא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אנו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מציעים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התחייבות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עצמית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וערבות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צד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</w:t>
      </w:r>
      <w:r>
        <w:rPr>
          <w:szCs w:val="24"/>
          <w:rtl w:val="true"/>
        </w:rPr>
        <w:t xml:space="preserve">', </w:t>
      </w:r>
      <w:r>
        <w:rPr>
          <w:szCs w:val="24"/>
          <w:rtl w:val="true"/>
        </w:rPr>
        <w:t>וכן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צו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עיכוב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יציאה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מהארץ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בנוסף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להפקדה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עצמית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התיק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ישן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למעלה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משנתיים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התייצב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הדיונים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נעדר</w:t>
      </w:r>
      <w:r>
        <w:rPr>
          <w:szCs w:val="24"/>
          <w:rtl w:val="true"/>
        </w:rPr>
        <w:t xml:space="preserve">. </w:t>
      </w:r>
    </w:p>
    <w:p>
      <w:pPr>
        <w:pStyle w:val="BodyText2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2"/>
        <w:ind w:end="0"/>
        <w:jc w:val="both"/>
        <w:rPr/>
      </w:pPr>
      <w:r>
        <w:rPr>
          <w:b/>
          <w:b/>
          <w:bCs/>
          <w:szCs w:val="24"/>
          <w:u w:val="single"/>
          <w:rtl w:val="true"/>
        </w:rPr>
        <w:t>הסניגור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>אנחנו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נבקש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שתהיה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הפקדת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סכום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גבוהה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ובנוסף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ערב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צד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</w:t>
      </w:r>
      <w:r>
        <w:rPr>
          <w:szCs w:val="24"/>
          <w:rtl w:val="true"/>
        </w:rPr>
        <w:t xml:space="preserve">', </w:t>
      </w:r>
      <w:r>
        <w:rPr>
          <w:szCs w:val="24"/>
          <w:rtl w:val="true"/>
        </w:rPr>
        <w:t>מחשש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ימלט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הדין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כמו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צו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עיכוב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יציאה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מהארץ</w:t>
      </w:r>
      <w:r>
        <w:rPr>
          <w:szCs w:val="24"/>
          <w:rtl w:val="true"/>
        </w:rPr>
        <w:t xml:space="preserve">. </w:t>
      </w:r>
    </w:p>
    <w:p>
      <w:pPr>
        <w:pStyle w:val="BodyText2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Heading"/>
        <w:ind w:end="0"/>
        <w:jc w:val="center"/>
        <w:rPr>
          <w:sz w:val="24"/>
        </w:rPr>
      </w:pPr>
      <w:bookmarkStart w:id="17" w:name="Decision1"/>
      <w:bookmarkEnd w:id="17"/>
      <w:r>
        <w:rPr>
          <w:sz w:val="24"/>
          <w:sz w:val="24"/>
          <w:rtl w:val="true"/>
        </w:rPr>
        <w:t>החלטה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7.3.2007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10.00</w:t>
      </w:r>
      <w:r>
        <w:rPr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בטבריה</w:t>
      </w:r>
      <w:r>
        <w:rPr>
          <w:rtl w:val="true"/>
        </w:rPr>
        <w:t>.</w:t>
      </w:r>
    </w:p>
    <w:p>
      <w:pPr>
        <w:pStyle w:val="BodyTextInden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שידרש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 </w:t>
      </w:r>
      <w:r>
        <w:rPr/>
        <w:t>20,000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דורון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פורת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54678313-2539/05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tbl>
      <w:tblPr>
        <w:tblW w:w="2376" w:type="dxa"/>
        <w:jc w:val="start"/>
        <w:tblInd w:w="614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6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8" w:name="Decision1"/>
      <w:bookmarkEnd w:id="18"/>
      <w:r>
        <w:rPr/>
        <w:t>002539/05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111</w:t>
      </w:r>
      <w:r>
        <w:rPr>
          <w:rtl w:val="true"/>
        </w:rPr>
        <w:t xml:space="preserve"> </w:t>
      </w:r>
      <w:r>
        <w:rPr>
          <w:rtl w:val="true"/>
        </w:rPr>
        <w:t>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נרקיס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/Users/liorb/Downloads/study2025-p2/s05002539-151.doc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טב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2539/05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זהיא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פהים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שפיק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center"/>
      <w:outlineLvl w:val="4"/>
    </w:pPr>
    <w:rPr>
      <w:b/>
      <w:bCs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0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both"/>
    </w:pPr>
    <w:rPr>
      <w:b/>
      <w:bCs/>
      <w:szCs w:val="28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szCs w:val="28"/>
    </w:rPr>
  </w:style>
  <w:style w:type="paragraph" w:styleId="BodyTextIndent2">
    <w:name w:val="Body Text Indent 2"/>
    <w:basedOn w:val="Normal"/>
    <w:qFormat/>
    <w:pPr>
      <w:ind w:hanging="72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1">
    <w:name w:val="צטוט"/>
    <w:basedOn w:val="Normal"/>
    <w:qFormat/>
    <w:pPr>
      <w:ind w:hanging="0" w:start="567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4314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case/6154475" TargetMode="External"/><Relationship Id="rId14" Type="http://schemas.openxmlformats.org/officeDocument/2006/relationships/hyperlink" Target="http://www.nevo.co.il/law/70301/144.c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07145" TargetMode="External"/><Relationship Id="rId17" Type="http://schemas.openxmlformats.org/officeDocument/2006/relationships/hyperlink" Target="http://www.nevo.co.il/case/5991408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2016-10-27T15:44:00Z</dcterms:created>
  <dc:creator> </dc:creator>
  <dc:description/>
  <cp:keywords/>
  <dc:language>en-IL</dc:language>
  <cp:lastModifiedBy>hofit</cp:lastModifiedBy>
  <cp:lastPrinted>2007-02-25T10:10:00Z</cp:lastPrinted>
  <dcterms:modified xsi:type="dcterms:W3CDTF">2016-10-27T15:44:00Z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זהיא פהים שפיק</vt:lpwstr>
  </property>
  <property fmtid="{D5CDD505-2E9C-101B-9397-08002B2CF9AE}" pid="4" name="CASESLISTTMP1">
    <vt:lpwstr>2243143;6154475;207145;5991408</vt:lpwstr>
  </property>
  <property fmtid="{D5CDD505-2E9C-101B-9397-08002B2CF9AE}" pid="5" name="CITY">
    <vt:lpwstr>טב'</vt:lpwstr>
  </property>
  <property fmtid="{D5CDD505-2E9C-101B-9397-08002B2CF9AE}" pid="6" name="DATE">
    <vt:lpwstr>20070227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דורון פורת</vt:lpwstr>
  </property>
  <property fmtid="{D5CDD505-2E9C-101B-9397-08002B2CF9AE}" pid="10" name="LAWLISTTMP1">
    <vt:lpwstr>70301/144.a:2;144.b2:2;144.c</vt:lpwstr>
  </property>
  <property fmtid="{D5CDD505-2E9C-101B-9397-08002B2CF9AE}" pid="11" name="LAWYER">
    <vt:lpwstr>מרואן מויס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http://www.nevo.co.il/Psika_word/mechozi/m07001060-533.doc;לפסק-דין במחוזי (2007-04-17)#עפ 1060/07 אבו זהיא פהים נ' מדינת ישראל#שופטים: זיאד הווארי, גבריאלה (דֶה לֵיאו) לוי, הלמן אסתר#עו''ד: סיאגה, שירן</vt:lpwstr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2539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