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>
          <w:b/>
          <w:bCs/>
          <w:szCs w:val="32"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2"/>
        <w:gridCol w:w="821"/>
        <w:gridCol w:w="4843"/>
        <w:gridCol w:w="766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sz w:val="24"/>
                <w:szCs w:val="36"/>
              </w:rPr>
            </w:pPr>
            <w:r>
              <w:rPr>
                <w:sz w:val="24"/>
                <w:szCs w:val="36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</w:rPr>
              <w:t>001053/05</w:t>
            </w:r>
          </w:p>
        </w:tc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3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u w:val="none"/>
                <w:rtl w:val="true"/>
              </w:rPr>
              <w:t>בירושלים</w:t>
            </w:r>
          </w:p>
        </w:tc>
      </w:tr>
      <w:tr>
        <w:trPr>
          <w:trHeight w:val="195" w:hRule="atLeast"/>
        </w:trPr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 w:val="24"/>
                <w:szCs w:val="20"/>
                <w:u w:val="none"/>
              </w:rPr>
            </w:pPr>
            <w:r>
              <w:rPr>
                <w:rFonts w:cs="Times New Roman"/>
                <w:b/>
                <w:bCs/>
                <w:sz w:val="24"/>
                <w:szCs w:val="20"/>
                <w:u w:val="none"/>
                <w:rtl w:val="true"/>
              </w:rPr>
            </w:r>
          </w:p>
        </w:tc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</w:r>
          </w:p>
        </w:tc>
      </w:tr>
      <w:tr>
        <w:trPr>
          <w:trHeight w:val="286" w:hRule="atLeast"/>
        </w:trPr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18/05/2006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כב</w:t>
            </w:r>
            <w:r>
              <w:rPr>
                <w:sz w:val="24"/>
                <w:szCs w:val="26"/>
                <w:rtl w:val="true"/>
              </w:rPr>
              <w:t xml:space="preserve">' </w:t>
            </w:r>
            <w:r>
              <w:rPr>
                <w:sz w:val="24"/>
                <w:sz w:val="24"/>
                <w:szCs w:val="26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נֹעם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סולברג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8"/>
                <w:sz w:val="28"/>
                <w:szCs w:val="26"/>
                <w:rtl w:val="true"/>
              </w:rPr>
              <w:t>בפני</w:t>
            </w:r>
            <w:r>
              <w:rPr>
                <w:sz w:val="28"/>
                <w:szCs w:val="26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9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4820"/>
        <w:gridCol w:w="1418"/>
      </w:tblGrid>
      <w:tr>
        <w:trPr/>
        <w:tc>
          <w:tcPr>
            <w:tcW w:w="2409" w:type="dxa"/>
            <w:tcBorders/>
          </w:tcPr>
          <w:p>
            <w:pPr>
              <w:pStyle w:val="Style10"/>
              <w:suppressLineNumbers w:val="0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Style10"/>
              <w:suppressLineNumbers w:val="0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uppressLineNumbers w:val="0"/>
              <w:ind w:end="0"/>
              <w:jc w:val="both"/>
              <w:rPr/>
            </w:pPr>
            <w:bookmarkStart w:id="4" w:name="FirstLawyer"/>
            <w:bookmarkEnd w:id="4"/>
            <w:r>
              <w:rPr>
                <w:rtl w:val="true"/>
              </w:rPr>
              <w:t>המאשימה</w:t>
            </w:r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מעיין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רימון</w:t>
            </w:r>
          </w:p>
          <w:p>
            <w:pPr>
              <w:pStyle w:val="Style10"/>
              <w:suppressLineNumbers w:val="0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פרקליטות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ירושלים</w:t>
            </w:r>
          </w:p>
        </w:tc>
        <w:tc>
          <w:tcPr>
            <w:tcW w:w="1418" w:type="dxa"/>
            <w:tcBorders/>
          </w:tcPr>
          <w:p>
            <w:pPr>
              <w:pStyle w:val="Style10"/>
              <w:suppressLineNumbers w:val="0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uppressLineNumbers w:val="0"/>
              <w:snapToGrid w:val="false"/>
              <w:spacing w:lineRule="auto" w:line="240" w:before="600" w:after="0"/>
              <w:ind w:end="0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auto" w:line="240" w:before="240" w:after="0"/>
              <w:ind w:end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true"/>
              </w:rPr>
              <w:t xml:space="preserve">- </w:t>
            </w:r>
            <w:r>
              <w:rPr>
                <w:sz w:val="32"/>
                <w:sz w:val="32"/>
                <w:szCs w:val="32"/>
                <w:rtl w:val="true"/>
              </w:rPr>
              <w:t>נגד</w:t>
            </w:r>
            <w:r>
              <w:rPr>
                <w:rFonts w:cs="Times New Roman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Cs w:val="32"/>
                <w:rtl w:val="true"/>
              </w:rPr>
              <w:t>-</w:t>
            </w:r>
          </w:p>
          <w:p>
            <w:pPr>
              <w:pStyle w:val="Style10"/>
              <w:suppressLineNumbers w:val="0"/>
              <w:spacing w:lineRule="auto" w:line="240"/>
              <w:ind w:end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Style10"/>
              <w:suppressLineNumbers w:val="0"/>
              <w:snapToGrid w:val="false"/>
              <w:spacing w:lineRule="auto" w:line="240"/>
              <w:ind w:end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uppressLineNumbers w:val="0"/>
              <w:snapToGrid w:val="false"/>
              <w:spacing w:lineRule="auto" w:line="240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מוסטפא</w:t>
            </w:r>
            <w:bookmarkStart w:id="5" w:name="שם_ב"/>
            <w:bookmarkEnd w:id="5"/>
          </w:p>
        </w:tc>
        <w:tc>
          <w:tcPr>
            <w:tcW w:w="1418" w:type="dxa"/>
            <w:tcBorders/>
          </w:tcPr>
          <w:p>
            <w:pPr>
              <w:pStyle w:val="Style10"/>
              <w:suppressLineNumbers w:val="0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uppressLineNumbers w:val="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ריאד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סוואעד</w:t>
            </w:r>
          </w:p>
          <w:p>
            <w:pPr>
              <w:pStyle w:val="Style10"/>
              <w:suppressLineNumbers w:val="0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סנגוריה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ציבורית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Style10"/>
              <w:suppressLineNumbers w:val="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9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6" w:name="סוג_מסמך"/>
      <w:bookmarkStart w:id="7" w:name="סוג_מסמך"/>
      <w:bookmarkEnd w:id="7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8" w:name="LastJudge"/>
      <w:bookmarkStart w:id="9" w:name="PsakDin"/>
      <w:bookmarkEnd w:id="8"/>
      <w:bookmarkEnd w:id="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ind w:end="0"/>
        <w:jc w:val="both"/>
        <w:rPr/>
      </w:pPr>
      <w:bookmarkStart w:id="12" w:name="ABSTRACT_START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בנקש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bookmarkStart w:id="13" w:name="ABSTRACT_END"/>
      <w:bookmarkEnd w:id="13"/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המסכל</w:t>
      </w:r>
      <w:r>
        <w:rPr>
          <w:rtl w:val="true"/>
        </w:rPr>
        <w:t xml:space="preserve">,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הפלשתינית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ברמאללה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סוהיל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עראר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מעיסוויה</w:t>
      </w:r>
      <w:r>
        <w:rPr>
          <w:rtl w:val="true"/>
        </w:rPr>
        <w:t xml:space="preserve">, </w:t>
      </w:r>
      <w:r>
        <w:rPr>
          <w:rtl w:val="true"/>
        </w:rPr>
        <w:t>ערפאת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עטייה</w:t>
      </w:r>
      <w:r>
        <w:rPr>
          <w:rtl w:val="true"/>
        </w:rPr>
        <w:t xml:space="preserve">, </w:t>
      </w:r>
      <w:r>
        <w:rPr>
          <w:rtl w:val="true"/>
        </w:rPr>
        <w:t>וביקשוֹ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ברמאללה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וואל</w:t>
      </w:r>
      <w:r>
        <w:rPr>
          <w:rtl w:val="true"/>
        </w:rPr>
        <w:t xml:space="preserve">", </w:t>
      </w:r>
      <w:r>
        <w:rPr>
          <w:rtl w:val="true"/>
        </w:rPr>
        <w:t>מוֹצאוֹ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מוּכּר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פלשתיני</w:t>
      </w:r>
      <w:r>
        <w:rPr>
          <w:rtl w:val="true"/>
        </w:rPr>
        <w:t xml:space="preserve">.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בפדיון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ערפאת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חופשיים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16.5.06</w:t>
      </w:r>
      <w:r>
        <w:rPr>
          <w:rtl w:val="true"/>
        </w:rPr>
        <w:t xml:space="preserve">).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האסמכתאות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באזורנו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הִישנוֹת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בּרצוֹתוֹ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וברצוֹתוֹ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tl w:val="true"/>
        </w:rPr>
        <w:t xml:space="preserve">.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tl w:val="true"/>
        </w:rPr>
        <w:t xml:space="preserve">. </w:t>
      </w:r>
      <w:r>
        <w:rPr>
          <w:rtl w:val="true"/>
        </w:rPr>
        <w:t>למקרא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וכּנה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tl w:val="true"/>
        </w:rPr>
        <w:t xml:space="preserve">;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למוֹד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tl w:val="true"/>
        </w:rPr>
        <w:t xml:space="preserve">,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תריסר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ומעדותהּ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לספּק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ופיזיים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כֹּה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ומועיל</w:t>
      </w:r>
      <w:r>
        <w:rPr>
          <w:rtl w:val="true"/>
        </w:rPr>
        <w:t xml:space="preserve">.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'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'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915" w:start="1275" w:end="0"/>
        <w:jc w:val="both"/>
        <w:rPr/>
      </w:pP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915" w:start="1275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נמנעתי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לפרנסתהּ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4" w:name="Decision1"/>
      <w:bookmarkStart w:id="15" w:name="Decision1"/>
    </w:p>
    <w:p>
      <w:pPr>
        <w:pStyle w:val="3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),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סוואעד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עוזרי</w:t>
      </w:r>
      <w:r>
        <w:rPr>
          <w:rtl w:val="true"/>
        </w:rPr>
        <w:t>.</w:t>
      </w:r>
    </w:p>
    <w:tbl>
      <w:tblPr>
        <w:tblW w:w="194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4"/>
      </w:tblGrid>
      <w:tr>
        <w:trPr/>
        <w:tc>
          <w:tcPr>
            <w:tcW w:w="194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נֹעם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סולברג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'.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>:</w:t>
      </w:r>
      <w:bookmarkEnd w:id="15"/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16" w:name="Decision2"/>
      <w:bookmarkStart w:id="17" w:name="Decision2"/>
    </w:p>
    <w:p>
      <w:pPr>
        <w:pStyle w:val="Heading1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ing1"/>
        <w:ind w:end="0"/>
        <w:jc w:val="center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ובתנאי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,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ההפקדה</w:t>
      </w:r>
      <w:r>
        <w:rPr>
          <w:rtl w:val="true"/>
        </w:rPr>
        <w:t xml:space="preserve">, </w:t>
      </w:r>
      <w:r>
        <w:rPr>
          <w:rtl w:val="true"/>
        </w:rPr>
        <w:t>ויעמיד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'.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נֹעם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סולברג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54678313-1053/05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tblW w:w="194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44"/>
      </w:tblGrid>
      <w:tr>
        <w:trPr/>
        <w:tc>
          <w:tcPr>
            <w:tcW w:w="194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נֹעם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סולברג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Caption"/>
        <w:ind w:end="0"/>
        <w:jc w:val="start"/>
        <w:rPr>
          <w:color w:val="000000"/>
        </w:rPr>
      </w:pPr>
      <w:bookmarkStart w:id="18" w:name="Decision2"/>
      <w:r>
        <w:rPr>
          <w:rtl w:val="true"/>
        </w:rPr>
        <w:t>עינת</w:t>
      </w:r>
      <w:bookmarkEnd w:id="18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/Users/liorb/Downloads/study2025-p2/m05001053-489.doc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1053/05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מוסטפא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275"/>
        </w:tabs>
        <w:ind w:start="1275" w:hanging="915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both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both"/>
      <w:outlineLvl w:val="2"/>
    </w:pPr>
    <w:rPr>
      <w:sz w:val="24"/>
      <w:szCs w:val="26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32"/>
      <w:szCs w:val="30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sz w:val="16"/>
      <w:szCs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>
      <w:b/>
      <w:bCs/>
      <w:color w:val="FF0000"/>
      <w:sz w:val="16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צטוט"/>
    <w:basedOn w:val="Normal"/>
    <w:qFormat/>
    <w:pPr>
      <w:spacing w:lineRule="auto" w:line="240"/>
      <w:ind w:hanging="0" w:start="1134" w:end="1134"/>
      <w:jc w:val="both"/>
    </w:pPr>
    <w:rPr>
      <w:bCs/>
      <w:sz w:val="3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2">
    <w:name w:val="סגנון2"/>
    <w:basedOn w:val="Normal"/>
    <w:qFormat/>
    <w:pPr>
      <w:ind w:hanging="0" w:start="0" w:end="0"/>
      <w:jc w:val="end"/>
    </w:pPr>
    <w:rPr>
      <w:bCs/>
    </w:rPr>
  </w:style>
  <w:style w:type="paragraph" w:styleId="3">
    <w:name w:val="סגנון3"/>
    <w:basedOn w:val="Normal"/>
    <w:qFormat/>
    <w:pPr>
      <w:keepNext w:val="true"/>
      <w:ind w:hanging="0" w:start="0" w:end="0"/>
      <w:jc w:val="start"/>
      <w:outlineLvl w:val="0"/>
    </w:pPr>
    <w:rPr>
      <w:b/>
      <w:bCs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2006-05-20T05:33:00Z</dcterms:created>
  <dc:creator> </dc:creator>
  <dc:description/>
  <dc:language>en-IL</dc:language>
  <cp:lastModifiedBy>nevo2</cp:lastModifiedBy>
  <cp:lastPrinted>2006-05-18T11:16:00Z</cp:lastPrinted>
  <dcterms:modified xsi:type="dcterms:W3CDTF">2006-05-20T09:40:00Z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מוסטפא</vt:lpwstr>
  </property>
  <property fmtid="{D5CDD505-2E9C-101B-9397-08002B2CF9AE}" pid="4" name="CITY">
    <vt:lpwstr>י-ם</vt:lpwstr>
  </property>
  <property fmtid="{D5CDD505-2E9C-101B-9397-08002B2CF9AE}" pid="5" name="DATE">
    <vt:lpwstr>20060518</vt:lpwstr>
  </property>
  <property fmtid="{D5CDD505-2E9C-101B-9397-08002B2CF9AE}" pid="6" name="ISABSTRACT">
    <vt:lpwstr>Y</vt:lpwstr>
  </property>
  <property fmtid="{D5CDD505-2E9C-101B-9397-08002B2CF9AE}" pid="7" name="JUDGE">
    <vt:lpwstr>נֹעם סולברג</vt:lpwstr>
  </property>
  <property fmtid="{D5CDD505-2E9C-101B-9397-08002B2CF9AE}" pid="8" name="LAWYER">
    <vt:lpwstr>מעיין רימון;ריאד סוואעד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1053</vt:lpwstr>
  </property>
  <property fmtid="{D5CDD505-2E9C-101B-9397-08002B2CF9AE}" pid="26" name="PROCYEAR">
    <vt:lpwstr>05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