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0" w:name="LastJudge"/>
      <w:bookmarkEnd w:id="0"/>
      <w:r>
        <w:rPr>
          <w:rFonts w:cs="Times New Roman"/>
          <w:sz w:val="22"/>
          <w:szCs w:val="24"/>
          <w:rtl w:val="true"/>
        </w:rPr>
        <w:t xml:space="preserve">   </w:t>
      </w:r>
    </w:p>
    <w:p>
      <w:pPr>
        <w:pStyle w:val="Heading9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000136/03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חבש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07/07/2003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033"/>
        <w:gridCol w:w="1787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6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בא_כוח_א"/>
            <w:bookmarkEnd w:id="2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303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שם_ב"/>
            <w:bookmarkEnd w:id="3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זאדה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4" w:name="בא_כוח_ב"/>
            <w:bookmarkEnd w:id="4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303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start"/>
        <w:rPr>
          <w:sz w:val="24"/>
          <w:szCs w:val="24"/>
        </w:rPr>
      </w:pPr>
      <w:bookmarkStart w:id="5" w:name="LastJudge"/>
      <w:bookmarkStart w:id="6" w:name="ABSTRACT_START"/>
      <w:bookmarkStart w:id="7" w:name="PsakDin"/>
      <w:bookmarkStart w:id="8" w:name="סוג_מסמך"/>
      <w:bookmarkEnd w:id="5"/>
      <w:bookmarkEnd w:id="6"/>
      <w:bookmarkEnd w:id="7"/>
      <w:bookmarkEnd w:id="8"/>
      <w:r>
        <w:rPr>
          <w:rFonts w:cs="FrankRuehl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הודאת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הנאשם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טיעון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בביצוען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הבאות</w:t>
      </w:r>
      <w:r>
        <w:rPr>
          <w:rFonts w:cs="FrankRuehl"/>
          <w:sz w:val="24"/>
          <w:szCs w:val="24"/>
          <w:rtl w:val="true"/>
        </w:rPr>
        <w:t xml:space="preserve">: </w:t>
      </w:r>
      <w:r>
        <w:rPr>
          <w:rFonts w:cs="FrankRuehl"/>
          <w:sz w:val="24"/>
          <w:sz w:val="24"/>
          <w:szCs w:val="24"/>
          <w:rtl w:val="true"/>
        </w:rPr>
        <w:t>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שוד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</w:rPr>
        <w:t>402</w:t>
      </w:r>
      <w:r>
        <w:rPr>
          <w:rFonts w:cs="FrankRuehl"/>
          <w:sz w:val="24"/>
          <w:szCs w:val="24"/>
          <w:rtl w:val="true"/>
        </w:rPr>
        <w:t xml:space="preserve"> (</w:t>
      </w:r>
      <w:r>
        <w:rPr>
          <w:rFonts w:cs="FrankRuehl"/>
          <w:sz w:val="24"/>
          <w:sz w:val="24"/>
          <w:szCs w:val="24"/>
          <w:rtl w:val="true"/>
        </w:rPr>
        <w:t>א</w:t>
      </w:r>
      <w:r>
        <w:rPr>
          <w:rFonts w:cs="FrankRuehl"/>
          <w:sz w:val="24"/>
          <w:szCs w:val="24"/>
          <w:rtl w:val="true"/>
        </w:rPr>
        <w:t xml:space="preserve">) </w:t>
      </w:r>
      <w:r>
        <w:rPr>
          <w:rFonts w:cs="FrankRuehl"/>
          <w:sz w:val="24"/>
          <w:sz w:val="24"/>
          <w:szCs w:val="24"/>
          <w:rtl w:val="true"/>
        </w:rPr>
        <w:t>ו</w:t>
      </w:r>
      <w:r>
        <w:rPr>
          <w:rFonts w:cs="FrankRuehl"/>
          <w:sz w:val="24"/>
          <w:szCs w:val="24"/>
          <w:rtl w:val="true"/>
        </w:rPr>
        <w:t>(</w:t>
      </w:r>
      <w:r>
        <w:rPr>
          <w:rFonts w:cs="FrankRuehl"/>
          <w:sz w:val="24"/>
          <w:sz w:val="24"/>
          <w:szCs w:val="24"/>
          <w:rtl w:val="true"/>
        </w:rPr>
        <w:t>ב</w:t>
      </w:r>
      <w:r>
        <w:rPr>
          <w:rFonts w:cs="FrankRuehl"/>
          <w:sz w:val="24"/>
          <w:szCs w:val="24"/>
          <w:rtl w:val="true"/>
        </w:rPr>
        <w:t xml:space="preserve">) </w:t>
      </w:r>
      <w:r>
        <w:rPr>
          <w:rFonts w:cs="FrankRuehl"/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תשל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Cs w:val="24"/>
        </w:rPr>
        <w:t>1977</w:t>
      </w:r>
      <w:r>
        <w:rPr>
          <w:rFonts w:cs="FrankRuehl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נשיאת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והובלתו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</w:rPr>
        <w:t>144</w:t>
      </w:r>
      <w:r>
        <w:rPr>
          <w:rFonts w:cs="FrankRuehl"/>
          <w:sz w:val="24"/>
          <w:szCs w:val="24"/>
          <w:rtl w:val="true"/>
        </w:rPr>
        <w:t xml:space="preserve"> (</w:t>
      </w:r>
      <w:r>
        <w:rPr>
          <w:rFonts w:cs="FrankRuehl"/>
          <w:sz w:val="24"/>
          <w:sz w:val="24"/>
          <w:szCs w:val="24"/>
          <w:rtl w:val="true"/>
        </w:rPr>
        <w:t>ב</w:t>
      </w:r>
      <w:r>
        <w:rPr>
          <w:rFonts w:cs="FrankRuehl"/>
          <w:sz w:val="24"/>
          <w:szCs w:val="24"/>
          <w:rtl w:val="true"/>
        </w:rPr>
        <w:t xml:space="preserve">) </w:t>
      </w:r>
      <w:r>
        <w:rPr>
          <w:rFonts w:cs="FrankRuehl"/>
          <w:sz w:val="24"/>
          <w:sz w:val="24"/>
          <w:szCs w:val="24"/>
          <w:rtl w:val="true"/>
        </w:rPr>
        <w:t>רישא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לחוק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השמדת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ראיה</w:t>
      </w:r>
      <w:r>
        <w:rPr>
          <w:rFonts w:cs="FrankRuehl"/>
          <w:sz w:val="24"/>
          <w:szCs w:val="24"/>
          <w:rtl w:val="true"/>
        </w:rPr>
        <w:t xml:space="preserve">, </w:t>
      </w:r>
      <w:r>
        <w:rPr>
          <w:rFonts w:cs="FrankRuehl"/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</w:rPr>
        <w:t>242</w:t>
      </w:r>
      <w:r>
        <w:rPr>
          <w:rFonts w:cs="FrankRuehl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לחוק</w:t>
      </w:r>
      <w:r>
        <w:rPr>
          <w:rFonts w:cs="FrankRuehl"/>
          <w:sz w:val="24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FrankRuehl"/>
          <w:b/>
          <w:bCs/>
          <w:sz w:val="22"/>
          <w:szCs w:val="24"/>
          <w:u w:val="single"/>
        </w:rPr>
      </w:pPr>
      <w:r>
        <w:rPr>
          <w:rFonts w:cs="FrankRuehl"/>
          <w:b/>
          <w:bCs/>
          <w:sz w:val="22"/>
          <w:szCs w:val="24"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1" w:name="PsakDin"/>
      <w:bookmarkEnd w:id="11"/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402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והובלתו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הנחוצות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15.6.02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09:00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הבחינו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סובארו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חלף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כובעי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ודרשו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בנסיעה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מסביב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מרכבו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כשסירב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מהרכב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והכניס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המפתחות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לכיסו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המפתחות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אנחנו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לוקחים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".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נכנסו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למחסום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קלנדיה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וקבעו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הבוקר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המחרת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08:30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הפלסטיני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09:30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חבושים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בכובעי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נכנס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ושותפיו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הנוכחים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3,850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אמריקאי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556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ירדני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נכנסו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ועזבו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17,000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לערך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ארע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4.7.02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07:00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השותפים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ויסאם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כנעאן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'.</w:t>
      </w:r>
      <w:r>
        <w:rPr>
          <w:sz w:val="22"/>
          <w:sz w:val="22"/>
          <w:szCs w:val="24"/>
          <w:rtl w:val="true"/>
        </w:rPr>
        <w:t>אם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סי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לעיזרייה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שדדה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סובארו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09:00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שדדו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הבנק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בעיזרייה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42,000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10,500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5,500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ירדני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באוויר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ונמלטו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הסובארו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התנגשו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הדרך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השותפים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לויסאם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בקרבת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לאסוף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מהמקום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ויסאם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23,000-24,000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המעורבים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אם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סי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זיהוים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402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המצוינת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129/03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31.7.02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זלום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לוטפי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זאהדה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בשכונת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גזברית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הקונסוליה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הצרפתית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במאצעות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זלום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בהגיעם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ולוטפי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התפרצו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המתלוננת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מצלמת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תכשיטים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ומכשיר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טלפון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סלולארי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לוטפי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עזב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המקום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מלאים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בתסכולים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ובמצוקות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נולד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נפשות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מעזובה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וחינוכית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ומהשפלות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אביו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ועסוק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בסיפוק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צרכיו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סרטן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ופסיבית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ממחלות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במאסרים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מצוקתו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והמשפחתית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ודפוסי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ההתנהגות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הנוהגים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שהתחתן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וילדיה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בהתייחסו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בפתחם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חיצוניים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הפעילו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וחבורתו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וחבורתו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העיקרי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לזלזול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בזכויותיהם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ובפרטיותם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למעשה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נהפך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וכמקור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פרנסה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הוכיח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משמעותית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והכלכליות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בעצמו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המגורים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הצפופים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שיכלה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מזערי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מצרכיו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משפחתי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והאדריכל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מועטות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עגומה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גוססת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מסרטן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במנזר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מלמדות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ושלווים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נורמלית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ומסוכנות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sz w:val="22"/>
          <w:szCs w:val="24"/>
          <w:rtl w:val="true"/>
        </w:rPr>
        <w:t xml:space="preserve">? </w:t>
      </w: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בכללותו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שיהיו</w:t>
      </w:r>
      <w:r>
        <w:rPr>
          <w:sz w:val="22"/>
          <w:szCs w:val="24"/>
          <w:rtl w:val="true"/>
        </w:rPr>
        <w:t xml:space="preserve">?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לדעתי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ופגיעתן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ובביטחונו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לעבריינים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משתכנע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הקטן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למוטב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ייטב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ולחברה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חיפש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ממנהרה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בקצה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חשדן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באחרים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מערערות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היסודות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מושתתת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תרבות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שחבריה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ונורמליים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מינימלית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ורכושם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הנראה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הצלחתו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תאבונו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להרפתקאות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ונועזות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פחות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והפך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כמקור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הכנסה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ותעוזה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שמסוכנותו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ההנחה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המתכנן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ובמקומות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נסבלת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מסוכנותו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מופלגת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ורכושו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ולחובתו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שותפו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ונתתי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היחיד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וחסכונו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20/3/2003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שחציו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ז</w:t>
      </w:r>
      <w:r>
        <w:rPr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בתמוז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7.7</w:t>
      </w:r>
      <w:r>
        <w:rPr>
          <w:b/>
          <w:bCs/>
          <w:color w:val="000000"/>
          <w:sz w:val="22"/>
          <w:szCs w:val="24"/>
          <w:rtl w:val="true"/>
        </w:rPr>
        <w:t xml:space="preserve">. </w:t>
      </w:r>
      <w:r>
        <w:rPr>
          <w:b/>
          <w:bCs/>
          <w:color w:val="000000"/>
          <w:sz w:val="22"/>
          <w:szCs w:val="24"/>
        </w:rPr>
        <w:t>2003</w:t>
      </w:r>
      <w:r>
        <w:rPr>
          <w:b/>
          <w:bCs/>
          <w:color w:val="000000"/>
          <w:sz w:val="22"/>
          <w:szCs w:val="24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הצדדים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23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חבש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  <w:t>---------------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color w:val="FF0000"/>
          <w:sz w:val="22"/>
          <w:sz w:val="22"/>
          <w:szCs w:val="24"/>
          <w:rtl w:val="true"/>
        </w:rPr>
        <w:t>הערת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FF0000"/>
          <w:sz w:val="22"/>
          <w:szCs w:val="24"/>
          <w:rtl w:val="true"/>
        </w:rPr>
        <w:t>'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המאגר</w:t>
      </w:r>
      <w:r>
        <w:rPr>
          <w:b/>
          <w:bCs/>
          <w:color w:val="FF0000"/>
          <w:sz w:val="22"/>
          <w:szCs w:val="24"/>
          <w:rtl w:val="true"/>
        </w:rPr>
        <w:t xml:space="preserve">':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התאריך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פסק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הדין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ידוע</w:t>
      </w:r>
      <w:r>
        <w:rPr>
          <w:b/>
          <w:bCs/>
          <w:color w:val="FF0000"/>
          <w:sz w:val="22"/>
          <w:szCs w:val="24"/>
          <w:rtl w:val="true"/>
        </w:rPr>
        <w:t xml:space="preserve">.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התאריך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FF0000"/>
          <w:sz w:val="22"/>
          <w:szCs w:val="24"/>
        </w:rPr>
        <w:t>31/12/03</w:t>
      </w:r>
      <w:r>
        <w:rPr>
          <w:b/>
          <w:bCs/>
          <w:color w:val="FF0000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הינו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שרירותי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ונקבע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ההליך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לצרכי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המאגר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נבונבונבו</w:t>
      </w:r>
      <w:r>
        <w:rPr>
          <w:b/>
          <w:bCs/>
          <w:color w:val="FF0000"/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/>
          <w:bCs/>
          <w:color w:val="FF0000"/>
          <w:sz w:val="22"/>
          <w:sz w:val="22"/>
          <w:szCs w:val="24"/>
          <w:rtl w:val="true"/>
        </w:rPr>
        <w:t>נוסח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כפוף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לשינויי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עריכה</w:t>
      </w:r>
      <w:r>
        <w:rPr>
          <w:rFonts w:cs="Times New Roman"/>
          <w:b/>
          <w:b/>
          <w:bCs/>
          <w:color w:val="FF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FF0000"/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/Users/liorb/Downloads/study2025-p2/m03136b.doc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136/03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זאדה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עדנאן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exact" w:line="320" w:before="0" w:after="80"/>
      <w:ind w:firstLine="283" w:start="0" w:end="0"/>
      <w:jc w:val="center"/>
      <w:outlineLvl w:val="8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  <w:szCs w:val="24"/>
    </w:rPr>
  </w:style>
  <w:style w:type="paragraph" w:styleId="Style5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7">
    <w:name w:val="צטוט"/>
    <w:basedOn w:val="Normal"/>
    <w:qFormat/>
    <w:pPr>
      <w:spacing w:lineRule="auto" w:line="360" w:before="0" w:after="120"/>
      <w:ind w:hanging="0" w:start="1134" w:end="1134"/>
      <w:jc w:val="both"/>
    </w:pPr>
    <w:rPr>
      <w:rFonts w:cs="Narkisim"/>
      <w:bCs/>
    </w:rPr>
  </w:style>
  <w:style w:type="paragraph" w:styleId="Style8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Style5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Style5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2010-03-14T06:18:00Z</dcterms:created>
  <dc:creator> </dc:creator>
  <dc:description/>
  <cp:keywords/>
  <dc:language>en-IL</dc:language>
  <cp:lastModifiedBy>eli</cp:lastModifiedBy>
  <cp:lastPrinted>2003-07-07T08:50:00Z</cp:lastPrinted>
  <dcterms:modified xsi:type="dcterms:W3CDTF">2010-03-14T06:18:00Z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זאדה עדנאן</vt:lpwstr>
  </property>
  <property fmtid="{D5CDD505-2E9C-101B-9397-08002B2CF9AE}" pid="4" name="CITY">
    <vt:lpwstr>י-ם</vt:lpwstr>
  </property>
  <property fmtid="{D5CDD505-2E9C-101B-9397-08002B2CF9AE}" pid="5" name="DATE">
    <vt:lpwstr>20030707</vt:lpwstr>
  </property>
  <property fmtid="{D5CDD505-2E9C-101B-9397-08002B2CF9AE}" pid="6" name="FICTIVEDATE">
    <vt:lpwstr>YES</vt:lpwstr>
  </property>
  <property fmtid="{D5CDD505-2E9C-101B-9397-08002B2CF9AE}" pid="7" name="ISABSTRACT">
    <vt:lpwstr>Y</vt:lpwstr>
  </property>
  <property fmtid="{D5CDD505-2E9C-101B-9397-08002B2CF9AE}" pid="8" name="JUDGE">
    <vt:lpwstr>עוני חבש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2">
    <vt:lpwstr/>
  </property>
  <property fmtid="{D5CDD505-2E9C-101B-9397-08002B2CF9AE}" pid="12" name="LINKK3">
    <vt:lpwstr/>
  </property>
  <property fmtid="{D5CDD505-2E9C-101B-9397-08002B2CF9AE}" pid="13" name="LINKK4">
    <vt:lpwstr/>
  </property>
  <property fmtid="{D5CDD505-2E9C-101B-9397-08002B2CF9AE}" pid="14" name="LINKK5">
    <vt:lpwstr/>
  </property>
  <property fmtid="{D5CDD505-2E9C-101B-9397-08002B2CF9AE}" pid="15" name="LINKK6">
    <vt:lpwstr/>
  </property>
  <property fmtid="{D5CDD505-2E9C-101B-9397-08002B2CF9AE}" pid="16" name="LINKK7">
    <vt:lpwstr/>
  </property>
  <property fmtid="{D5CDD505-2E9C-101B-9397-08002B2CF9AE}" pid="17" name="NOSE1">
    <vt:lpwstr/>
  </property>
  <property fmtid="{D5CDD505-2E9C-101B-9397-08002B2CF9AE}" pid="18" name="NOSE2">
    <vt:lpwstr/>
  </property>
  <property fmtid="{D5CDD505-2E9C-101B-9397-08002B2CF9AE}" pid="19" name="NOSE3">
    <vt:lpwstr/>
  </property>
  <property fmtid="{D5CDD505-2E9C-101B-9397-08002B2CF9AE}" pid="20" name="PADIMAIL">
    <vt:lpwstr/>
  </property>
  <property fmtid="{D5CDD505-2E9C-101B-9397-08002B2CF9AE}" pid="21" name="PAGE">
    <vt:lpwstr/>
  </property>
  <property fmtid="{D5CDD505-2E9C-101B-9397-08002B2CF9AE}" pid="22" name="PART">
    <vt:lpwstr/>
  </property>
  <property fmtid="{D5CDD505-2E9C-101B-9397-08002B2CF9AE}" pid="23" name="PROCESS">
    <vt:lpwstr>תפ</vt:lpwstr>
  </property>
  <property fmtid="{D5CDD505-2E9C-101B-9397-08002B2CF9AE}" pid="24" name="PROCNUM">
    <vt:lpwstr>136</vt:lpwstr>
  </property>
  <property fmtid="{D5CDD505-2E9C-101B-9397-08002B2CF9AE}" pid="25" name="PROCYEAR">
    <vt:lpwstr>03</vt:lpwstr>
  </property>
  <property fmtid="{D5CDD505-2E9C-101B-9397-08002B2CF9AE}" pid="26" name="PSAKDIN">
    <vt:lpwstr>גזר-דין</vt:lpwstr>
  </property>
  <property fmtid="{D5CDD505-2E9C-101B-9397-08002B2CF9AE}" pid="27" name="TYPE">
    <vt:lpwstr>2</vt:lpwstr>
  </property>
  <property fmtid="{D5CDD505-2E9C-101B-9397-08002B2CF9AE}" pid="28" name="VOLUME">
    <vt:lpwstr/>
  </property>
  <property fmtid="{D5CDD505-2E9C-101B-9397-08002B2CF9AE}" pid="29" name="WORDNUMPAGES">
    <vt:lpwstr>4</vt:lpwstr>
  </property>
</Properties>
</file>