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0"/>
        <w:gridCol w:w="14"/>
        <w:gridCol w:w="2546"/>
        <w:gridCol w:w="1038"/>
        <w:gridCol w:w="1721"/>
        <w:gridCol w:w="1076"/>
        <w:gridCol w:w="1501"/>
        <w:gridCol w:w="24"/>
      </w:tblGrid>
      <w:tr>
        <w:trPr>
          <w:trHeight w:val="244" w:hRule="exact"/>
        </w:trPr>
        <w:tc>
          <w:tcPr>
            <w:tcW w:w="7295" w:type="dxa"/>
            <w:gridSpan w:val="6"/>
            <w:tcBorders/>
          </w:tcPr>
          <w:p>
            <w:pPr>
              <w:pStyle w:val="Header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/>
                <w:bCs/>
                <w:rtl w:val="true"/>
              </w:rPr>
              <w:t>בתי המשפט</w:t>
            </w:r>
          </w:p>
        </w:tc>
        <w:tc>
          <w:tcPr>
            <w:tcW w:w="152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</w:rPr>
            </w:pPr>
            <w:r>
              <w:rPr>
                <w:rFonts w:cs="Tahoma" w:ascii="Tahoma" w:hAnsi="Tahoma"/>
                <w:b/>
                <w:bCs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3460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בבית משפט השלום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בירושלים</w:t>
            </w:r>
          </w:p>
        </w:tc>
        <w:tc>
          <w:tcPr>
            <w:tcW w:w="3835" w:type="dxa"/>
            <w:gridSpan w:val="3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</w:t>
            </w:r>
            <w:r>
              <w:rPr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1382-09</w:t>
            </w:r>
          </w:p>
        </w:tc>
        <w:tc>
          <w:tcPr>
            <w:tcW w:w="152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6219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 אלכסנדר רון</w:t>
            </w:r>
          </w:p>
        </w:tc>
        <w:tc>
          <w:tcPr>
            <w:tcW w:w="1076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 טבת תשע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02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ינואר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2011</w:t>
            </w:r>
          </w:p>
        </w:tc>
        <w:tc>
          <w:tcPr>
            <w:tcW w:w="152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96" w:type="dxa"/>
            <w:gridSpan w:val="7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914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358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 xml:space="preserve">לשכת תביעות ירושלים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4322" w:type="dxa"/>
            <w:gridSpan w:val="4"/>
            <w:tcBorders/>
            <w:vAlign w:val="bottom"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8820" w:type="dxa"/>
            <w:gridSpan w:val="8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598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גואד בורקאן</w:t>
            </w:r>
          </w:p>
        </w:tc>
        <w:tc>
          <w:tcPr>
            <w:tcW w:w="4322" w:type="dxa"/>
            <w:gridSpan w:val="4"/>
            <w:tcBorders/>
            <w:vAlign w:val="bottom"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</w:t>
            </w:r>
            <w:r>
              <w:rPr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ים</w:t>
            </w:r>
          </w:p>
        </w:tc>
      </w:tr>
      <w:tr>
        <w:trPr>
          <w:trHeight w:val="281" w:hRule="atLeast"/>
        </w:trPr>
        <w:tc>
          <w:tcPr>
            <w:tcW w:w="8820" w:type="dxa"/>
            <w:gridSpan w:val="8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59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4322" w:type="dxa"/>
            <w:gridSpan w:val="4"/>
            <w:tcBorders/>
            <w:vAlign w:val="bottom"/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&lt;</w:t>
      </w:r>
      <w:r>
        <w:rPr>
          <w:rFonts w:cs="Arial" w:ascii="Arial" w:hAnsi="Arial"/>
        </w:rPr>
        <w:t>#2#</w:t>
      </w:r>
      <w:r>
        <w:rPr>
          <w:rFonts w:cs="Arial" w:ascii="Arial" w:hAnsi="Arial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האני ואקד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ובא כוחו 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אדלבי</w:t>
      </w:r>
    </w:p>
    <w:p>
      <w:pPr>
        <w:pStyle w:val="David"/>
        <w:spacing w:lineRule="auto" w:line="480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"/>
        <w:spacing w:lineRule="auto" w:line="480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spacing w:lineRule="auto" w:line="480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David"/>
        <w:spacing w:lineRule="auto" w:line="48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פיצוי למתלונן  מוחמד אבו שחאדה ת</w:t>
      </w:r>
      <w:r>
        <w:rPr>
          <w:rFonts w:cs="David" w:ascii="David" w:hAnsi="David"/>
          <w:rtl w:val="true"/>
        </w:rPr>
        <w:t>.</w:t>
      </w:r>
      <w:r>
        <w:rPr>
          <w:rFonts w:ascii="David" w:hAnsi="David" w:cs="David"/>
          <w:rtl w:val="true"/>
        </w:rPr>
        <w:t>ז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081006355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בסך </w:t>
      </w:r>
      <w:r>
        <w:rPr>
          <w:rFonts w:cs="David" w:ascii="David" w:hAnsi="David"/>
        </w:rPr>
        <w:t>1,900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 xml:space="preserve">ב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תשלומים מיום </w:t>
      </w:r>
      <w:r>
        <w:rPr>
          <w:rFonts w:cs="David" w:ascii="David" w:hAnsi="David"/>
        </w:rPr>
        <w:t>1.2.2011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spacing w:lineRule="auto" w:line="48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spacing w:lineRule="auto" w:line="48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קנס בסך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 xml:space="preserve">או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ימי מעצר תמורתו בתשלומים כנ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נועד לאפשר הטלת ימי מאסר להבטחת התשלום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David"/>
        <w:spacing w:lineRule="auto" w:line="48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spacing w:lineRule="auto" w:line="48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spacing w:lineRule="auto" w:line="48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spacing w:lineRule="auto" w:line="48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spacing w:lineRule="auto" w:line="48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שירוצו אם יעבור בשנתיים הקרובות עבירה נוספת על סימן 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של פרק 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 xml:space="preserve">של </w:t>
      </w:r>
      <w:hyperlink r:id="rId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spacing w:lineRule="auto" w:line="48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spacing w:lineRule="auto" w:line="48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זכות ערעור כחוק</w:t>
      </w:r>
    </w:p>
    <w:p>
      <w:pPr>
        <w:pStyle w:val="David"/>
        <w:spacing w:lineRule="auto" w:line="48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spacing w:lineRule="auto" w:line="480"/>
        <w:ind w:hanging="720" w:start="720"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#4#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02/01/2011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אלכסנדר רון </w:t>
      </w:r>
      <w:r>
        <w:rPr>
          <w:color w:val="000000"/>
          <w:sz w:val="22"/>
          <w:szCs w:val="22"/>
        </w:rPr>
        <w:t>54678313-1382/09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אלכסנדר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ענת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יניר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1382-09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לשכת תביעות ירושלים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פלילי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גואד בורקאן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2011-01-25T16:29:00Z</dcterms:created>
  <dc:creator> </dc:creator>
  <dc:description/>
  <cp:keywords/>
  <dc:language>en-IL</dc:language>
  <cp:lastModifiedBy>orit</cp:lastModifiedBy>
  <dcterms:modified xsi:type="dcterms:W3CDTF">2011-01-25T16:29:00Z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ירושלים (פלילי)</vt:lpwstr>
  </property>
  <property fmtid="{D5CDD505-2E9C-101B-9397-08002B2CF9AE}" pid="3" name="APPELLEE">
    <vt:lpwstr>גואד בורקאן</vt:lpwstr>
  </property>
  <property fmtid="{D5CDD505-2E9C-101B-9397-08002B2CF9AE}" pid="4" name="CITY">
    <vt:lpwstr>י-ם</vt:lpwstr>
  </property>
  <property fmtid="{D5CDD505-2E9C-101B-9397-08002B2CF9AE}" pid="5" name="DATE">
    <vt:lpwstr>20110102</vt:lpwstr>
  </property>
  <property fmtid="{D5CDD505-2E9C-101B-9397-08002B2CF9AE}" pid="6" name="DELEMATA">
    <vt:lpwstr/>
  </property>
  <property fmtid="{D5CDD505-2E9C-101B-9397-08002B2CF9AE}" pid="7" name="JUDGE">
    <vt:lpwstr>אלכסנדר רון</vt:lpwstr>
  </property>
  <property fmtid="{D5CDD505-2E9C-101B-9397-08002B2CF9AE}" pid="8" name="LAWYER">
    <vt:lpwstr>האני ואקד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1382</vt:lpwstr>
  </property>
  <property fmtid="{D5CDD505-2E9C-101B-9397-08002B2CF9AE}" pid="22" name="NEWPARTB">
    <vt:lpwstr/>
  </property>
  <property fmtid="{D5CDD505-2E9C-101B-9397-08002B2CF9AE}" pid="23" name="NEWPARTC">
    <vt:lpwstr>09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1382</vt:lpwstr>
  </property>
  <property fmtid="{D5CDD505-2E9C-101B-9397-08002B2CF9AE}" pid="30" name="PROCYEAR">
    <vt:lpwstr>09</vt:lpwstr>
  </property>
  <property fmtid="{D5CDD505-2E9C-101B-9397-08002B2CF9AE}" pid="31" name="PSAKDIN">
    <vt:lpwstr>גזר-דין</vt:lpwstr>
  </property>
  <property fmtid="{D5CDD505-2E9C-101B-9397-08002B2CF9AE}" pid="32" name="RemarkFileName">
    <vt:lpwstr>shalom 04356ecf44764f4a0300000094b92aa3 09 1382 htm</vt:lpwstr>
  </property>
  <property fmtid="{D5CDD505-2E9C-101B-9397-08002B2CF9AE}" pid="33" name="TYPE">
    <vt:lpwstr>3</vt:lpwstr>
  </property>
  <property fmtid="{D5CDD505-2E9C-101B-9397-08002B2CF9AE}" pid="34" name="TYPE_ABS_DATE">
    <vt:lpwstr>380020110102</vt:lpwstr>
  </property>
  <property fmtid="{D5CDD505-2E9C-101B-9397-08002B2CF9AE}" pid="35" name="TYPE_N_DATE">
    <vt:lpwstr>38020110102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