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3"/>
        <w:gridCol w:w="850"/>
        <w:gridCol w:w="4673"/>
        <w:gridCol w:w="766"/>
      </w:tblGrid>
      <w:tr>
        <w:trPr>
          <w:trHeight w:val="195" w:hRule="atLeast"/>
        </w:trPr>
        <w:tc>
          <w:tcPr>
            <w:tcW w:w="308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</w:rPr>
              <w:t>002927/05</w:t>
            </w:r>
          </w:p>
        </w:tc>
        <w:tc>
          <w:tcPr>
            <w:tcW w:w="543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ירושלים</w:t>
            </w:r>
          </w:p>
        </w:tc>
      </w:tr>
      <w:tr>
        <w:trPr>
          <w:trHeight w:val="195" w:hRule="atLeast"/>
        </w:trPr>
        <w:tc>
          <w:tcPr>
            <w:tcW w:w="308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 w:val="26"/>
                <w:szCs w:val="20"/>
              </w:rPr>
            </w:pPr>
            <w:r>
              <w:rPr>
                <w:rFonts w:cs="Times New Roman"/>
                <w:b/>
                <w:bCs/>
                <w:sz w:val="26"/>
                <w:szCs w:val="20"/>
                <w:rtl w:val="true"/>
              </w:rPr>
            </w:r>
          </w:p>
        </w:tc>
        <w:tc>
          <w:tcPr>
            <w:tcW w:w="543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</w:r>
          </w:p>
        </w:tc>
      </w:tr>
      <w:tr>
        <w:trPr>
          <w:trHeight w:val="286" w:hRule="atLeast"/>
        </w:trPr>
        <w:tc>
          <w:tcPr>
            <w:tcW w:w="2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bookmarkStart w:id="0" w:name="LastJudge"/>
            <w:bookmarkEnd w:id="0"/>
            <w:r>
              <w:rPr>
                <w:b/>
                <w:bCs/>
                <w:sz w:val="26"/>
              </w:rPr>
              <w:t>04/09/2006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תאריך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46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פרידמן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פלדמן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ס</w:t>
            </w:r>
            <w:r>
              <w:rPr>
                <w:b/>
                <w:bCs/>
                <w:sz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נשיא</w:t>
            </w:r>
          </w:p>
        </w:tc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לפני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uppressLineNumbers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4"/>
              <w:suppressLineNumbers/>
              <w:spacing w:lineRule="auto" w:line="24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סוויטי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פריד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5"/>
              <w:suppressLineNumbers/>
              <w:spacing w:lineRule="auto" w:line="24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suppressLineNumbers/>
        <w:ind w:end="0"/>
        <w:jc w:val="center"/>
        <w:rPr>
          <w:b/>
          <w:bCs/>
          <w:sz w:val="32"/>
          <w:szCs w:val="32"/>
          <w:u w:val="single"/>
        </w:rPr>
      </w:pPr>
      <w:bookmarkStart w:id="5" w:name="PsakDin"/>
      <w:bookmarkEnd w:id="5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Cs/>
          <w:sz w:val="32"/>
          <w:szCs w:val="32"/>
          <w:u w:val="single"/>
          <w:rtl w:val="true"/>
        </w:rPr>
        <w:t xml:space="preserve">-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uppressLineNumbers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uppressLineNumbers/>
        <w:ind w:end="0"/>
        <w:jc w:val="both"/>
        <w:rPr/>
      </w:pP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bookmarkStart w:id="9" w:name="ABSTRACT_END"/>
      <w:bookmarkEnd w:id="9"/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עויינות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האפשרית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צודקת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, </w:t>
      </w:r>
      <w:r>
        <w:rPr>
          <w:rtl w:val="true"/>
        </w:rPr>
        <w:t>להמיר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1.10.06</w:t>
      </w:r>
      <w:r>
        <w:rPr>
          <w:rtl w:val="true"/>
        </w:rPr>
        <w:t xml:space="preserve"> </w:t>
      </w:r>
      <w:r>
        <w:rPr>
          <w:rtl w:val="true"/>
        </w:rPr>
        <w:t>והתשלומים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המוצג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  <w:bookmarkStart w:id="10" w:name="Decision1"/>
      <w:bookmarkStart w:id="11" w:name="Decision1"/>
      <w:bookmarkEnd w:id="11"/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rFonts w:cs="David"/>
          <w:color w:val="000000"/>
          <w:sz w:val="22"/>
          <w:sz w:val="22"/>
          <w:szCs w:val="22"/>
          <w:rtl w:val="true"/>
        </w:rPr>
        <w:t>רבקה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 w:val="22"/>
          <w:szCs w:val="22"/>
          <w:rtl w:val="true"/>
        </w:rPr>
        <w:t>פרידמן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 w:val="22"/>
          <w:szCs w:val="22"/>
          <w:rtl w:val="true"/>
        </w:rPr>
        <w:t>פלדמן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54678313-2927/05</w:t>
      </w:r>
    </w:p>
    <w:p>
      <w:pPr>
        <w:pStyle w:val="Normal"/>
        <w:suppressLineNumbers/>
        <w:ind w:end="0"/>
        <w:jc w:val="both"/>
        <w:rPr/>
      </w:pPr>
      <w:r>
        <w:rPr>
          <w:sz w:val="28"/>
          <w:sz w:val="28"/>
          <w:rtl w:val="true"/>
        </w:rPr>
        <w:t>ניתן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באלול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תשס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בספטמבר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2006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במעמד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והנאשם</w:t>
      </w:r>
      <w:r>
        <w:rPr>
          <w:sz w:val="28"/>
          <w:rtl w:val="true"/>
        </w:rPr>
        <w:t xml:space="preserve">. 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tblW w:w="340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02"/>
      </w:tblGrid>
      <w:tr>
        <w:trPr/>
        <w:tc>
          <w:tcPr>
            <w:tcW w:w="3402" w:type="dxa"/>
            <w:tcBorders>
              <w:top w:val="single" w:sz="12" w:space="0" w:color="000000"/>
            </w:tcBorders>
          </w:tcPr>
          <w:p>
            <w:pPr>
              <w:pStyle w:val="Normal"/>
              <w:suppressLineNumbers/>
              <w:ind w:end="0"/>
              <w:jc w:val="center"/>
              <w:rPr/>
            </w:pPr>
            <w:r>
              <w:rPr>
                <w:rtl w:val="true"/>
              </w:rPr>
              <w:t>רבקה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פרידמן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פלדמן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סגן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12" w:name="Decision1"/>
      <w:bookmarkEnd w:id="12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/Users/liorb/Downloads/study2025-p2/s05002927-303.doc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2927/05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סוויטי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פריד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Narkisim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  <w:szCs w:val="24"/>
    </w:rPr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rFonts w:cs="David"/>
      <w:b/>
      <w:bCs/>
      <w:sz w:val="22"/>
      <w:szCs w:val="24"/>
    </w:rPr>
  </w:style>
  <w:style w:type="paragraph" w:styleId="Style11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2006-09-05T05:35:00Z</dcterms:created>
  <dc:creator> </dc:creator>
  <dc:description/>
  <dc:language>en-IL</dc:language>
  <cp:lastModifiedBy>eli</cp:lastModifiedBy>
  <dcterms:modified xsi:type="dcterms:W3CDTF">2006-09-05T07:34:00Z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סוויטי פריד</vt:lpwstr>
  </property>
  <property fmtid="{D5CDD505-2E9C-101B-9397-08002B2CF9AE}" pid="4" name="CITY">
    <vt:lpwstr>י-ם</vt:lpwstr>
  </property>
  <property fmtid="{D5CDD505-2E9C-101B-9397-08002B2CF9AE}" pid="5" name="DATE">
    <vt:lpwstr>20060904</vt:lpwstr>
  </property>
  <property fmtid="{D5CDD505-2E9C-101B-9397-08002B2CF9AE}" pid="6" name="ISABSTRACT">
    <vt:lpwstr>Y</vt:lpwstr>
  </property>
  <property fmtid="{D5CDD505-2E9C-101B-9397-08002B2CF9AE}" pid="7" name="JUDGE">
    <vt:lpwstr>רבקה פרידמן פלדמן</vt:lpwstr>
  </property>
  <property fmtid="{D5CDD505-2E9C-101B-9397-08002B2CF9AE}" pid="8" name="LAWYER">
    <vt:lpwstr/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2927</vt:lpwstr>
  </property>
  <property fmtid="{D5CDD505-2E9C-101B-9397-08002B2CF9AE}" pid="26" name="PROCYEAR">
    <vt:lpwstr>05</vt:lpwstr>
  </property>
  <property fmtid="{D5CDD505-2E9C-101B-9397-08002B2CF9AE}" pid="27" name="PSAKDIN">
    <vt:lpwstr>גזר-דין</vt:lpwstr>
  </property>
  <property fmtid="{D5CDD505-2E9C-101B-9397-08002B2CF9AE}" pid="28" name="TYPE">
    <vt:lpwstr>3</vt:lpwstr>
  </property>
  <property fmtid="{D5CDD505-2E9C-101B-9397-08002B2CF9AE}" pid="29" name="VOLUME">
    <vt:lpwstr/>
  </property>
  <property fmtid="{D5CDD505-2E9C-101B-9397-08002B2CF9AE}" pid="30" name="WORDNUMPAGES">
    <vt:lpwstr>2</vt:lpwstr>
  </property>
</Properties>
</file>