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cs="FrankRuehl"/>
          <w:szCs w:val="32"/>
        </w:rPr>
      </w:pPr>
      <w:r>
        <w:rPr>
          <w:rFonts w:cs="FrankRuehl"/>
          <w:szCs w:val="32"/>
          <w:rtl w:val="true"/>
        </w:rPr>
      </w:r>
      <w:bookmarkStart w:id="0" w:name="LawTable"/>
      <w:bookmarkStart w:id="1" w:name="LastJudge"/>
      <w:bookmarkStart w:id="2" w:name="צד_ג"/>
      <w:bookmarkStart w:id="3" w:name="LawTable"/>
      <w:bookmarkStart w:id="4" w:name="LastJudge"/>
      <w:bookmarkStart w:id="5" w:name="צד_ג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329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cs="FrankRuehl"/>
          <w:szCs w:val="32"/>
        </w:rPr>
      </w:pPr>
      <w:r>
        <w:rPr>
          <w:rFonts w:cs="FrankRuehl"/>
          <w:szCs w:val="32"/>
          <w:rtl w:val="true"/>
        </w:rPr>
      </w:r>
    </w:p>
    <w:p>
      <w:pPr>
        <w:pStyle w:val="Normal"/>
        <w:ind w:end="0"/>
        <w:jc w:val="center"/>
        <w:rPr>
          <w:rFonts w:cs="FrankRuehl"/>
          <w:szCs w:val="32"/>
        </w:rPr>
      </w:pPr>
      <w:r>
        <w:rPr>
          <w:rFonts w:cs="FrankRuehl"/>
          <w:szCs w:val="32"/>
          <w:rtl w:val="true"/>
        </w:rPr>
      </w:r>
    </w:p>
    <w:p>
      <w:pPr>
        <w:pStyle w:val="Normal"/>
        <w:ind w:end="0"/>
        <w:jc w:val="center"/>
        <w:rPr>
          <w:rFonts w:cs="FrankRuehl"/>
          <w:szCs w:val="32"/>
        </w:rPr>
      </w:pPr>
      <w:r>
        <w:rPr>
          <w:rFonts w:cs="FrankRuehl"/>
          <w:szCs w:val="32"/>
          <w:rtl w:val="true"/>
        </w:rPr>
      </w:r>
    </w:p>
    <w:p>
      <w:pPr>
        <w:pStyle w:val="Normal"/>
        <w:ind w:end="0"/>
        <w:jc w:val="center"/>
        <w:rPr>
          <w:rFonts w:cs="FrankRuehl"/>
          <w:szCs w:val="32"/>
        </w:rPr>
      </w:pPr>
      <w:r>
        <w:rPr>
          <w:rFonts w:cs="FrankRuehl"/>
          <w:szCs w:val="32"/>
          <w:rtl w:val="true"/>
        </w:rPr>
      </w:r>
    </w:p>
    <w:p>
      <w:pPr>
        <w:pStyle w:val="Normal"/>
        <w:ind w:end="0"/>
        <w:jc w:val="center"/>
        <w:rPr>
          <w:rFonts w:cs="FrankRuehl"/>
          <w:b/>
          <w:bCs/>
          <w:szCs w:val="32"/>
        </w:rPr>
      </w:pPr>
      <w:r>
        <w:rPr>
          <w:rFonts w:cs="FrankRuehl"/>
          <w:b/>
          <w:bCs/>
          <w:szCs w:val="32"/>
          <w:rtl w:val="true"/>
        </w:rPr>
      </w:r>
    </w:p>
    <w:p>
      <w:pPr>
        <w:pStyle w:val="Normal"/>
        <w:ind w:end="0"/>
        <w:jc w:val="center"/>
        <w:rPr>
          <w:rFonts w:cs="FrankRuehl"/>
        </w:rPr>
      </w:pPr>
      <w:r>
        <w:rPr>
          <w:rFonts w:cs="FrankRuehl"/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rFonts w:cs="FrankRuehl"/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rFonts w:cs="FrankRuehl"/>
        </w:rPr>
      </w:pPr>
      <w:r>
        <w:rPr>
          <w:rFonts w:cs="FrankRuehl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14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 w:val="34"/>
                <w:szCs w:val="32"/>
              </w:rPr>
            </w:pP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4"/>
                <w:sz w:val="34"/>
                <w:szCs w:val="32"/>
                <w:rtl w:val="true"/>
              </w:rPr>
              <w:t>בירושלים</w:t>
            </w:r>
          </w:p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rtl w:val="true"/>
              </w:rPr>
              <w:t>לפני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שידלובסקי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אור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Cs/>
                <w:sz w:val="28"/>
                <w:szCs w:val="28"/>
              </w:rPr>
              <w:t>318/04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 w:val="28"/>
                <w:szCs w:val="22"/>
              </w:rPr>
            </w:pPr>
            <w:r>
              <w:rPr>
                <w:rFonts w:cs="FrankRuehl"/>
                <w:b/>
                <w:bCs/>
                <w:sz w:val="28"/>
                <w:szCs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 w:val="30"/>
                <w:szCs w:val="28"/>
                <w:rtl w:val="true"/>
              </w:rPr>
              <w:t xml:space="preserve">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Cs w:val="22"/>
              </w:rPr>
            </w:pPr>
            <w:r>
              <w:rPr>
                <w:rFonts w:cs="FrankRuehl"/>
                <w:b/>
                <w:bCs/>
                <w:szCs w:val="22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06/01/2005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bookmarkStart w:id="8" w:name="FirstLawyer"/>
            <w:bookmarkStart w:id="9" w:name="FirstAppellant"/>
            <w:bookmarkEnd w:id="8"/>
            <w:bookmarkEnd w:id="9"/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שגיא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מפרקליטות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-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  <w:bookmarkStart w:id="10" w:name="שם_ב"/>
            <w:bookmarkStart w:id="11" w:name="שם_ב"/>
            <w:bookmarkEnd w:id="11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לוואי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חמידאן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מלאחי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pacing w:val="2"/>
                <w:sz w:val="28"/>
                <w:szCs w:val="28"/>
              </w:rPr>
              <w:t>xxxxxxxxx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2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pacing w:val="2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בלום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FrankRuehl"/>
                <w:spacing w:val="2"/>
                <w:sz w:val="28"/>
                <w:szCs w:val="28"/>
              </w:rPr>
            </w:pPr>
            <w:r>
              <w:rPr>
                <w:rFonts w:cs="FrankRuehl"/>
                <w:spacing w:val="2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spacing w:val="2"/>
          <w:sz w:val="44"/>
          <w:szCs w:val="44"/>
          <w:u w:val="none"/>
        </w:rPr>
      </w:pPr>
      <w:bookmarkStart w:id="12" w:name="צד_ג"/>
      <w:bookmarkStart w:id="13" w:name="סוג_מסמך"/>
      <w:bookmarkEnd w:id="12"/>
      <w:bookmarkEnd w:id="13"/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ג</w:t>
      </w:r>
      <w:r>
        <w:rPr>
          <w:rFonts w:cs="Times New Roman"/>
          <w:spacing w:val="2"/>
          <w:sz w:val="44"/>
          <w:sz w:val="44"/>
          <w:szCs w:val="44"/>
          <w:u w:val="none"/>
          <w:rtl w:val="true"/>
        </w:rPr>
        <w:t xml:space="preserve"> </w:t>
      </w:r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ז</w:t>
      </w:r>
      <w:r>
        <w:rPr>
          <w:rFonts w:cs="Times New Roman"/>
          <w:spacing w:val="2"/>
          <w:sz w:val="44"/>
          <w:sz w:val="44"/>
          <w:szCs w:val="44"/>
          <w:u w:val="none"/>
          <w:rtl w:val="true"/>
        </w:rPr>
        <w:t xml:space="preserve"> </w:t>
      </w:r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ר</w:t>
      </w:r>
      <w:r>
        <w:rPr>
          <w:rFonts w:cs="Times New Roman"/>
          <w:spacing w:val="2"/>
          <w:sz w:val="44"/>
          <w:sz w:val="44"/>
          <w:szCs w:val="44"/>
          <w:u w:val="none"/>
          <w:rtl w:val="true"/>
        </w:rPr>
        <w:t xml:space="preserve"> </w:t>
      </w:r>
      <w:r>
        <w:rPr>
          <w:rFonts w:cs="FrankRuehl"/>
          <w:spacing w:val="2"/>
          <w:sz w:val="44"/>
          <w:szCs w:val="44"/>
          <w:u w:val="none"/>
          <w:rtl w:val="true"/>
        </w:rPr>
        <w:t xml:space="preserve">-  </w:t>
      </w:r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ד</w:t>
      </w:r>
      <w:r>
        <w:rPr>
          <w:rFonts w:cs="Times New Roman"/>
          <w:spacing w:val="2"/>
          <w:sz w:val="44"/>
          <w:sz w:val="44"/>
          <w:szCs w:val="44"/>
          <w:u w:val="none"/>
          <w:rtl w:val="true"/>
        </w:rPr>
        <w:t xml:space="preserve"> </w:t>
      </w:r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י</w:t>
      </w:r>
      <w:r>
        <w:rPr>
          <w:rFonts w:cs="Times New Roman"/>
          <w:spacing w:val="2"/>
          <w:sz w:val="44"/>
          <w:sz w:val="44"/>
          <w:szCs w:val="44"/>
          <w:u w:val="none"/>
          <w:rtl w:val="true"/>
        </w:rPr>
        <w:t xml:space="preserve"> </w:t>
      </w:r>
      <w:r>
        <w:rPr>
          <w:rFonts w:cs="FrankRuehl"/>
          <w:spacing w:val="2"/>
          <w:sz w:val="44"/>
          <w:sz w:val="44"/>
          <w:szCs w:val="44"/>
          <w:u w:val="none"/>
          <w:rtl w:val="true"/>
        </w:rPr>
        <w:t>ן</w:t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rtl w:val="true"/>
        </w:rPr>
        <w:tab/>
      </w:r>
      <w:bookmarkStart w:id="14" w:name="ABSTRACT_START"/>
      <w:bookmarkEnd w:id="14"/>
      <w:r>
        <w:rPr>
          <w:rFonts w:cs="FrankRuehl"/>
          <w:spacing w:val="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הורשע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והודה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פי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הודאתו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בעבירת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חבלה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בכוונה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מחמירה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בניגוד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ס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2"/>
            <w:sz w:val="28"/>
            <w:szCs w:val="28"/>
          </w:rPr>
          <w:t>329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pacing w:val="2"/>
            <w:sz w:val="28"/>
            <w:szCs w:val="28"/>
          </w:rPr>
          <w:t>2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>)</w:t>
        </w:r>
      </w:hyperlink>
      <w:r>
        <w:rPr>
          <w:rFonts w:cs="FrankRuehl"/>
          <w:spacing w:val="2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</w:t>
      </w:r>
      <w:r>
        <w:rPr>
          <w:rFonts w:cs="FrankRuehl"/>
          <w:spacing w:val="2"/>
          <w:sz w:val="28"/>
          <w:sz w:val="28"/>
          <w:szCs w:val="28"/>
          <w:rtl w:val="true"/>
        </w:rPr>
        <w:t>חוק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העונשין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תשל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ז</w:t>
      </w:r>
      <w:r>
        <w:rPr>
          <w:rFonts w:cs="FrankRuehl"/>
          <w:spacing w:val="2"/>
          <w:sz w:val="28"/>
          <w:szCs w:val="28"/>
          <w:rtl w:val="true"/>
        </w:rPr>
        <w:t>-</w:t>
      </w:r>
      <w:r>
        <w:rPr>
          <w:rFonts w:cs="FrankRuehl"/>
          <w:spacing w:val="2"/>
          <w:sz w:val="28"/>
          <w:szCs w:val="28"/>
        </w:rPr>
        <w:t>1977</w:t>
      </w:r>
      <w:r>
        <w:rPr>
          <w:rFonts w:cs="FrankRuehl"/>
          <w:spacing w:val="2"/>
          <w:sz w:val="28"/>
          <w:szCs w:val="28"/>
          <w:rtl w:val="true"/>
        </w:rPr>
        <w:t xml:space="preserve"> (</w:t>
      </w:r>
      <w:r>
        <w:rPr>
          <w:rFonts w:cs="FrankRuehl"/>
          <w:spacing w:val="2"/>
          <w:sz w:val="28"/>
          <w:sz w:val="28"/>
          <w:szCs w:val="28"/>
          <w:rtl w:val="true"/>
        </w:rPr>
        <w:t>להלן</w:t>
      </w:r>
      <w:r>
        <w:rPr>
          <w:rFonts w:cs="FrankRuehl"/>
          <w:spacing w:val="2"/>
          <w:sz w:val="28"/>
          <w:szCs w:val="28"/>
          <w:rtl w:val="true"/>
        </w:rPr>
        <w:t xml:space="preserve">: </w:t>
      </w:r>
      <w:r>
        <w:rPr>
          <w:rFonts w:cs="FrankRuehl"/>
          <w:spacing w:val="2"/>
          <w:sz w:val="28"/>
          <w:sz w:val="28"/>
          <w:szCs w:val="28"/>
          <w:rtl w:val="true"/>
        </w:rPr>
        <w:t>החוק</w:t>
      </w:r>
      <w:r>
        <w:rPr>
          <w:rFonts w:cs="FrankRuehl"/>
          <w:spacing w:val="2"/>
          <w:sz w:val="28"/>
          <w:szCs w:val="28"/>
          <w:rtl w:val="true"/>
        </w:rPr>
        <w:t xml:space="preserve">), </w:t>
      </w:r>
      <w:r>
        <w:rPr>
          <w:rFonts w:cs="FrankRuehl"/>
          <w:spacing w:val="2"/>
          <w:sz w:val="28"/>
          <w:sz w:val="28"/>
          <w:szCs w:val="28"/>
          <w:rtl w:val="true"/>
        </w:rPr>
        <w:t>נשיאת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כדין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בניגוד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ס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2"/>
            <w:sz w:val="28"/>
            <w:szCs w:val="28"/>
          </w:rPr>
          <w:t>144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>)</w:t>
        </w:r>
      </w:hyperlink>
      <w:r>
        <w:rPr>
          <w:rFonts w:cs="FrankRuehl"/>
          <w:spacing w:val="2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לחוק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וירי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באזור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מגורים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בניגוד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ס</w:t>
        </w:r>
        <w:r>
          <w:rPr>
            <w:rStyle w:val="Hyperlink"/>
            <w:rFonts w:cs="FrankRuehl"/>
            <w:spacing w:val="2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2"/>
            <w:sz w:val="28"/>
            <w:szCs w:val="28"/>
          </w:rPr>
          <w:t>340</w:t>
        </w:r>
        <w:r>
          <w:rPr>
            <w:rStyle w:val="Hyperlink"/>
            <w:rFonts w:cs="FrankRuehl"/>
            <w:spacing w:val="2"/>
            <w:sz w:val="28"/>
            <w:sz w:val="28"/>
            <w:szCs w:val="28"/>
            <w:rtl w:val="true"/>
          </w:rPr>
          <w:t>א</w:t>
        </w:r>
      </w:hyperlink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לחוק</w:t>
      </w:r>
      <w:bookmarkStart w:id="15" w:name="ABSTRACT_END"/>
      <w:bookmarkEnd w:id="15"/>
      <w:r>
        <w:rPr>
          <w:rFonts w:cs="FrankRuehl"/>
          <w:spacing w:val="2"/>
          <w:sz w:val="28"/>
          <w:szCs w:val="28"/>
          <w:rtl w:val="true"/>
        </w:rPr>
        <w:t>.</w:t>
      </w:r>
      <w:r>
        <w:rPr>
          <w:rFonts w:cs="FrankRuehl"/>
          <w:color w:val="FFFFFF"/>
          <w:spacing w:val="2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  <w:bookmarkStart w:id="16" w:name="LastJudge"/>
      <w:bookmarkStart w:id="17" w:name="סוג_מסמך"/>
      <w:bookmarkStart w:id="18" w:name="LastJudge"/>
      <w:bookmarkStart w:id="19" w:name="סוג_מסמך"/>
      <w:bookmarkEnd w:id="18"/>
      <w:bookmarkEnd w:id="19"/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העובדות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הודה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17.13.03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בסמוך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לשעה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18:30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נהג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ברכבו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במהלך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הנסיעה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התפתח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עימות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בינו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חמזה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ערמין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נהג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ברכב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בכיוון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נסיעתו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מכיוון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שהאחרון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האט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מהירות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נסיעתו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ואף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ביצע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לעברו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תנועה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מגונה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מאוחר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יותר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באותו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ערב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הגיע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ביחד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אחרים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לחנות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בענתא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הזמנה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איברהים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במטרה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לערוך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"</w:t>
      </w:r>
      <w:r>
        <w:rPr>
          <w:spacing w:val="2"/>
          <w:rtl w:val="true"/>
        </w:rPr>
        <w:t>סולחה</w:t>
      </w:r>
      <w:r>
        <w:rPr>
          <w:spacing w:val="2"/>
          <w:rtl w:val="true"/>
        </w:rPr>
        <w:t xml:space="preserve">" </w:t>
      </w:r>
      <w:r>
        <w:rPr>
          <w:spacing w:val="2"/>
          <w:rtl w:val="true"/>
        </w:rPr>
        <w:t>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וחבריו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חמזה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ומשפחתו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במהלך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שהייתו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בחנות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הגיעו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אנשים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מבני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חמזה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וניפצו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חלונות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רכבו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ואף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זרקו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אבנים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החנות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השייכת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לקרוב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מחוץ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לחנות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החלה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להתפתח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מהומה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חמזה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במהלך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המהומה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נסע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לביתו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הצטייד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באקדח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וחזר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איזור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החנות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מחוץ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לחנות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התקבצו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בינתיים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שתי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הקבוצות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יידו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אבנים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וחפצים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אחרים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בזו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שתי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יריות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באויר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ומספר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יריות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חמזה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כמו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נורו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יריות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נוספות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ידי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אנשים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משתי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הקבוצות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כתוצאה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הירי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נהרג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אורח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הוכח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בו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כתב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האישום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המקורי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בהריגה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ובתקיפה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בנסיבות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מחמירות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במסגרת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עסקת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טיעון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תוקן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כתב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האישום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עסקת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הטיעון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כללה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הסכמה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לגבי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העונש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הוסכם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צד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יהיה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רשאי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לטעון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כרצונו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ואף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הוזמן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תסקיר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ב</w:t>
      </w:r>
      <w:r>
        <w:rPr>
          <w:spacing w:val="2"/>
          <w:rtl w:val="true"/>
        </w:rPr>
        <w:t>"</w:t>
      </w:r>
      <w:r>
        <w:rPr>
          <w:spacing w:val="2"/>
          <w:rtl w:val="true"/>
        </w:rPr>
        <w:t>כ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המאשימה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מצביע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חומרת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העבירה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הנסיבות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לפיהן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סכסוך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כביש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צעירים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התדרדר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לאירוע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אלים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משתתפים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בסופו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נהרג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אורח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תמים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עוד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מבקש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</w:t>
      </w:r>
      <w:r>
        <w:rPr>
          <w:spacing w:val="2"/>
          <w:rtl w:val="true"/>
        </w:rPr>
        <w:t>"</w:t>
      </w:r>
      <w:r>
        <w:rPr>
          <w:spacing w:val="2"/>
          <w:rtl w:val="true"/>
        </w:rPr>
        <w:t>כ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המאשימה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להטיל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עונש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הרתעתי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שישקף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חומרת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נשיאת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כדין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עונש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מתבקש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העובדה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שהתופעה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רווחת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מאוד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וזאת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גם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לפי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עובדות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כתב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האישום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בהן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הודה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נ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ב</w:t>
      </w:r>
      <w:r>
        <w:rPr>
          <w:spacing w:val="2"/>
          <w:rtl w:val="true"/>
        </w:rPr>
        <w:t>"</w:t>
      </w:r>
      <w:r>
        <w:rPr>
          <w:spacing w:val="2"/>
          <w:rtl w:val="true"/>
        </w:rPr>
        <w:t>כ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מפנה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לתסקיר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ומצביע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כך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הביע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חרטה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בפני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וחי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חיים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נורמטיביים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עוד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מציין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</w:t>
      </w:r>
      <w:r>
        <w:rPr>
          <w:spacing w:val="2"/>
          <w:rtl w:val="true"/>
        </w:rPr>
        <w:t>"</w:t>
      </w:r>
      <w:r>
        <w:rPr>
          <w:spacing w:val="2"/>
          <w:rtl w:val="true"/>
        </w:rPr>
        <w:t>כ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שאר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המעורבים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בפרשה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הועמדו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לדין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הואשמו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בעבירות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קלות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בהרבה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כתב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האישום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החמור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נובע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מכך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שהמאשימה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סברה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בתחילה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הכדור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שהרג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האורח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משהתברר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הדבר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כך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דינו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מכל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משתתף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במהומה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לבסוף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מציין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נעשתה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סולחה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המעורבים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בפרשה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ב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מעיון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בתסקיר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עולה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כי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22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פוטנציאל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חיובי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להתפתחות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ולתפקוד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תקין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למרות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העוני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גדל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שחייבו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להפסיק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לימודיו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וצאת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לפרנסת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משפחתו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אביו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נפטר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בהיותו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9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ואחיו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הגדול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נהרג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בשגגה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לפני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3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שנים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ידי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כוחות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הביטחון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השפיע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קשות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המשפחה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וחייב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לצאת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לעבוד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הורשע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בעבר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פעם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אחת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בשנת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1997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בשתי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סיכון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חיי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אדם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בנתיב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תחבורה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ותקיפת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שוטר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לאחר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ריצוי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עונש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ארבעה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חודשים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חזר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ללימודים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מעד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בפלילים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המלצת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היא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להטיל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תקופת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קצרה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אכן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העבירות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הודה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חמורות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ביותר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סכסוך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דבר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פעוט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כמו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האטת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מהירות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הנסיעה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התדרדרה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לכדי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קטטה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המונית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נורו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יריות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ואדם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תמים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קיפח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חייו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גם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ניתן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לייחס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הריגתו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לנאשם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אמר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המשפט</w:t>
      </w:r>
      <w:r>
        <w:rPr>
          <w:spacing w:val="2"/>
          <w:rtl w:val="true"/>
        </w:rPr>
        <w:t>: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spacing w:lineRule="auto" w:line="240"/>
        <w:ind w:start="658" w:end="993"/>
        <w:jc w:val="both"/>
        <w:rPr>
          <w:spacing w:val="2"/>
        </w:rPr>
      </w:pPr>
      <w:r>
        <w:rPr>
          <w:spacing w:val="2"/>
          <w:rtl w:val="true"/>
        </w:rPr>
        <w:t>"</w:t>
      </w:r>
      <w:r>
        <w:rPr>
          <w:spacing w:val="2"/>
          <w:rtl w:val="true"/>
        </w:rPr>
        <w:t>מריבות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נהגים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זכות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השימוש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בדרך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ההופכות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פעם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לתגרות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אלימות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מהוות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תופעה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רווחת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ומדאיגה</w:t>
      </w:r>
      <w:r>
        <w:rPr>
          <w:spacing w:val="2"/>
          <w:rtl w:val="true"/>
        </w:rPr>
        <w:t>" (</w:t>
      </w:r>
      <w:hyperlink r:id="rId9"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Cs w:val="24"/>
          </w:rPr>
          <w:t>9813/01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אחיעם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ישראל</w:t>
        </w:r>
      </w:hyperlink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תק</w:t>
      </w:r>
      <w:r>
        <w:rPr>
          <w:spacing w:val="2"/>
          <w:rtl w:val="true"/>
        </w:rPr>
        <w:t>-</w:t>
      </w:r>
      <w:r>
        <w:rPr>
          <w:spacing w:val="2"/>
          <w:rtl w:val="true"/>
        </w:rPr>
        <w:t>עליון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2002</w:t>
      </w:r>
      <w:r>
        <w:rPr>
          <w:spacing w:val="2"/>
          <w:rtl w:val="true"/>
        </w:rPr>
        <w:t>(</w:t>
      </w:r>
      <w:r>
        <w:rPr>
          <w:spacing w:val="2"/>
        </w:rPr>
        <w:t>1</w:t>
      </w:r>
      <w:r>
        <w:rPr>
          <w:spacing w:val="2"/>
          <w:rtl w:val="true"/>
        </w:rPr>
        <w:t xml:space="preserve">), </w:t>
      </w:r>
      <w:r>
        <w:rPr>
          <w:spacing w:val="2"/>
        </w:rPr>
        <w:t>257</w:t>
      </w:r>
      <w:r>
        <w:rPr>
          <w:spacing w:val="2"/>
          <w:rtl w:val="true"/>
        </w:rPr>
        <w:t>).</w:t>
      </w:r>
      <w:r>
        <w:rPr>
          <w:color w:val="FFFFFF"/>
          <w:spacing w:val="2"/>
          <w:sz w:val="4"/>
          <w:sz w:val="4"/>
          <w:szCs w:val="4"/>
          <w:rtl w:val="true"/>
        </w:rPr>
        <w:t>נ</w:t>
      </w:r>
    </w:p>
    <w:p>
      <w:pPr>
        <w:pStyle w:val="BodyText"/>
        <w:ind w:end="993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בנוסף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באשר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לעבירת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נשיאת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כדין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ולרף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הענישה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המתבקש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לגביהן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אמר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בית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המשפט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העליון</w:t>
      </w:r>
      <w:r>
        <w:rPr>
          <w:spacing w:val="2"/>
          <w:rtl w:val="true"/>
        </w:rPr>
        <w:t>: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spacing w:lineRule="auto" w:line="240"/>
        <w:ind w:start="658" w:end="993"/>
        <w:jc w:val="both"/>
        <w:rPr>
          <w:spacing w:val="2"/>
        </w:rPr>
      </w:pPr>
      <w:r>
        <w:rPr>
          <w:spacing w:val="2"/>
          <w:rtl w:val="true"/>
        </w:rPr>
        <w:t>"</w:t>
      </w:r>
      <w:r>
        <w:rPr>
          <w:spacing w:val="2"/>
          <w:rtl w:val="true"/>
        </w:rPr>
        <w:t>אין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אנו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יכולים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להתעלם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מהעובדה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שהחזקת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כדין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הינה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נפוצה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מסכנת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בטחון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הציבור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במידה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רצינית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והדברים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ידועים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חשוב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שתחדור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לתודעת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תושבי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המדינה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הידיעה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שמי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שביודעין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מקבל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לרשותו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כלי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נשק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כדין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צפוי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בגין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לעונש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מכאיב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אפילו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אין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מתכוון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אישית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לבצע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פשע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מסוים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ומוגדר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בעזרת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הנשק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האמור</w:t>
      </w:r>
      <w:r>
        <w:rPr>
          <w:spacing w:val="2"/>
          <w:rtl w:val="true"/>
        </w:rPr>
        <w:t>" (</w:t>
      </w:r>
      <w:hyperlink r:id="rId10"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Cs w:val="24"/>
          </w:rPr>
          <w:t>910/85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Miriam"/>
            <w:spacing w:val="2"/>
            <w:sz w:val="24"/>
            <w:szCs w:val="24"/>
          </w:rPr>
          <w:t>972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אברהים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קונדוס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ואח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2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2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Times New Roman"/>
            <w:spacing w:val="2"/>
            <w:sz w:val="24"/>
            <w:sz w:val="24"/>
            <w:szCs w:val="24"/>
            <w:rtl w:val="true"/>
          </w:rPr>
          <w:t xml:space="preserve"> </w:t>
        </w:r>
      </w:hyperlink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תק</w:t>
      </w:r>
      <w:r>
        <w:rPr>
          <w:spacing w:val="2"/>
          <w:rtl w:val="true"/>
        </w:rPr>
        <w:t>-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86</w:t>
      </w:r>
      <w:r>
        <w:rPr>
          <w:spacing w:val="2"/>
          <w:rtl w:val="true"/>
        </w:rPr>
        <w:t>(</w:t>
      </w:r>
      <w:r>
        <w:rPr>
          <w:spacing w:val="2"/>
        </w:rPr>
        <w:t>2</w:t>
      </w:r>
      <w:r>
        <w:rPr>
          <w:spacing w:val="2"/>
          <w:rtl w:val="true"/>
        </w:rPr>
        <w:t xml:space="preserve">), </w:t>
      </w:r>
      <w:r>
        <w:rPr>
          <w:spacing w:val="2"/>
        </w:rPr>
        <w:t>670</w:t>
      </w:r>
      <w:r>
        <w:rPr>
          <w:spacing w:val="2"/>
          <w:rtl w:val="true"/>
        </w:rPr>
        <w:t>).</w:t>
      </w:r>
      <w:r>
        <w:rPr>
          <w:color w:val="FFFFFF"/>
          <w:spacing w:val="2"/>
          <w:sz w:val="4"/>
          <w:sz w:val="4"/>
          <w:szCs w:val="4"/>
          <w:rtl w:val="true"/>
        </w:rPr>
        <w:t>ב</w:t>
      </w:r>
    </w:p>
    <w:p>
      <w:pPr>
        <w:pStyle w:val="BodyText"/>
        <w:tabs>
          <w:tab w:val="clear" w:pos="720"/>
          <w:tab w:val="left" w:pos="658" w:leader="none"/>
        </w:tabs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  <w:tab/>
      </w:r>
      <w:r>
        <w:rPr>
          <w:spacing w:val="2"/>
          <w:rtl w:val="true"/>
        </w:rPr>
        <w:t>מנגד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כפי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שעולה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מתסקיר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המבחן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מדובר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באדם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נורמטיבי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מתמודד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מציאות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חיים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פשוטה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במחנה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פליטים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ואשר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אף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הביע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צער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מעשיו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ו</w:t>
      </w:r>
    </w:p>
    <w:p>
      <w:pPr>
        <w:pStyle w:val="BodyText"/>
        <w:ind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firstLine="720" w:end="0"/>
        <w:jc w:val="both"/>
        <w:rPr>
          <w:spacing w:val="2"/>
        </w:rPr>
      </w:pPr>
      <w:r>
        <w:rPr>
          <w:spacing w:val="2"/>
          <w:rtl w:val="true"/>
        </w:rPr>
        <w:t>בהתחשב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בכל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הנסיבות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נראה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לנכון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לגזור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18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חודשי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לריצוי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בפועל</w:t>
      </w:r>
      <w:r>
        <w:rPr>
          <w:spacing w:val="2"/>
          <w:rtl w:val="true"/>
        </w:rPr>
        <w:t xml:space="preserve">. </w:t>
      </w:r>
      <w:r>
        <w:rPr>
          <w:spacing w:val="2"/>
          <w:rtl w:val="true"/>
        </w:rPr>
        <w:t>מתקופת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שנגזרה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ינוכו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198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ימים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בהם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היה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במעצר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לסירוגין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החל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מיום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4.1.04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נ</w:t>
      </w:r>
    </w:p>
    <w:p>
      <w:pPr>
        <w:pStyle w:val="BodyText"/>
        <w:ind w:firstLine="720"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BodyText"/>
        <w:ind w:firstLine="720" w:end="0"/>
        <w:jc w:val="both"/>
        <w:rPr>
          <w:spacing w:val="2"/>
        </w:rPr>
      </w:pPr>
      <w:r>
        <w:rPr>
          <w:spacing w:val="2"/>
          <w:rtl w:val="true"/>
        </w:rPr>
        <w:t>אני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גוזרת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הנאשם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spacing w:val="2"/>
          <w:rtl w:val="true"/>
        </w:rPr>
        <w:t>-</w:t>
      </w:r>
      <w:r>
        <w:rPr>
          <w:spacing w:val="2"/>
          <w:rtl w:val="true"/>
        </w:rPr>
        <w:t>תנאי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12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חודשים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והתנאי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יעבור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בניגוד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</w:t>
      </w:r>
      <w:hyperlink r:id="rId11">
        <w:r>
          <w:rPr>
            <w:rStyle w:val="Hyperlink"/>
            <w:spacing w:val="2"/>
            <w:rtl w:val="true"/>
          </w:rPr>
          <w:t>סעיפים</w:t>
        </w:r>
        <w:r>
          <w:rPr>
            <w:rStyle w:val="Hyperlink"/>
            <w:rFonts w:cs="Times New Roman"/>
            <w:spacing w:val="2"/>
            <w:rtl w:val="true"/>
          </w:rPr>
          <w:t xml:space="preserve"> </w:t>
        </w:r>
        <w:r>
          <w:rPr>
            <w:rStyle w:val="Hyperlink"/>
            <w:spacing w:val="2"/>
          </w:rPr>
          <w:t>329</w:t>
        </w:r>
        <w:r>
          <w:rPr>
            <w:rStyle w:val="Hyperlink"/>
            <w:spacing w:val="2"/>
            <w:rtl w:val="true"/>
          </w:rPr>
          <w:t>(</w:t>
        </w:r>
        <w:r>
          <w:rPr>
            <w:rStyle w:val="Hyperlink"/>
            <w:spacing w:val="2"/>
            <w:rtl w:val="true"/>
          </w:rPr>
          <w:t>א</w:t>
        </w:r>
        <w:r>
          <w:rPr>
            <w:rStyle w:val="Hyperlink"/>
            <w:spacing w:val="2"/>
            <w:rtl w:val="true"/>
          </w:rPr>
          <w:t>)(</w:t>
        </w:r>
        <w:r>
          <w:rPr>
            <w:rStyle w:val="Hyperlink"/>
            <w:spacing w:val="2"/>
          </w:rPr>
          <w:t>2</w:t>
        </w:r>
        <w:r>
          <w:rPr>
            <w:rStyle w:val="Hyperlink"/>
            <w:spacing w:val="2"/>
            <w:rtl w:val="true"/>
          </w:rPr>
          <w:t>)</w:t>
        </w:r>
      </w:hyperlink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ו</w:t>
      </w:r>
      <w:r>
        <w:rPr>
          <w:spacing w:val="2"/>
          <w:rtl w:val="true"/>
        </w:rPr>
        <w:t>-</w:t>
      </w:r>
      <w:hyperlink r:id="rId12">
        <w:r>
          <w:rPr>
            <w:rStyle w:val="Hyperlink"/>
            <w:spacing w:val="2"/>
          </w:rPr>
          <w:t>144</w:t>
        </w:r>
        <w:r>
          <w:rPr>
            <w:rStyle w:val="Hyperlink"/>
            <w:spacing w:val="2"/>
            <w:rtl w:val="true"/>
          </w:rPr>
          <w:t>(</w:t>
        </w:r>
        <w:r>
          <w:rPr>
            <w:rStyle w:val="Hyperlink"/>
            <w:spacing w:val="2"/>
            <w:rtl w:val="true"/>
          </w:rPr>
          <w:t>ב</w:t>
        </w:r>
        <w:r>
          <w:rPr>
            <w:rStyle w:val="Hyperlink"/>
            <w:spacing w:val="2"/>
            <w:rtl w:val="true"/>
          </w:rPr>
          <w:t>)</w:t>
        </w:r>
      </w:hyperlink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ל</w:t>
      </w:r>
      <w:r>
        <w:rPr>
          <w:spacing w:val="2"/>
          <w:rtl w:val="true"/>
        </w:rPr>
        <w:t>חוק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העונשין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תוך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3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שנים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מיום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שחרורו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ממאסר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ומאסר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על</w:t>
      </w:r>
      <w:r>
        <w:rPr>
          <w:spacing w:val="2"/>
          <w:rtl w:val="true"/>
        </w:rPr>
        <w:t>-</w:t>
      </w:r>
      <w:r>
        <w:rPr>
          <w:spacing w:val="2"/>
          <w:rtl w:val="true"/>
        </w:rPr>
        <w:t>תנאי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בן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3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חודשים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למשך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</w:rPr>
        <w:t>3</w:t>
      </w:r>
      <w:r>
        <w:rPr>
          <w:spacing w:val="2"/>
          <w:rtl w:val="true"/>
        </w:rPr>
        <w:t xml:space="preserve"> </w:t>
      </w:r>
      <w:r>
        <w:rPr>
          <w:spacing w:val="2"/>
          <w:rtl w:val="true"/>
        </w:rPr>
        <w:t>שנים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מיום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שחרורו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ממאסר</w:t>
      </w:r>
      <w:r>
        <w:rPr>
          <w:spacing w:val="2"/>
          <w:rtl w:val="true"/>
        </w:rPr>
        <w:t xml:space="preserve">, </w:t>
      </w:r>
      <w:r>
        <w:rPr>
          <w:spacing w:val="2"/>
          <w:rtl w:val="true"/>
        </w:rPr>
        <w:t>והתנאי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הוא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של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יעבור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עבירה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בניגוד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</w:t>
      </w:r>
      <w:hyperlink r:id="rId13">
        <w:r>
          <w:rPr>
            <w:rStyle w:val="Hyperlink"/>
            <w:spacing w:val="2"/>
            <w:rtl w:val="true"/>
          </w:rPr>
          <w:t>סעיף</w:t>
        </w:r>
        <w:r>
          <w:rPr>
            <w:rStyle w:val="Hyperlink"/>
            <w:rFonts w:cs="Times New Roman"/>
            <w:spacing w:val="2"/>
            <w:rtl w:val="true"/>
          </w:rPr>
          <w:t xml:space="preserve"> </w:t>
        </w:r>
        <w:r>
          <w:rPr>
            <w:rStyle w:val="Hyperlink"/>
            <w:spacing w:val="2"/>
          </w:rPr>
          <w:t>340</w:t>
        </w:r>
        <w:r>
          <w:rPr>
            <w:rStyle w:val="Hyperlink"/>
            <w:spacing w:val="2"/>
            <w:rtl w:val="true"/>
          </w:rPr>
          <w:t>א</w:t>
        </w:r>
      </w:hyperlink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לחוק</w:t>
      </w:r>
      <w:r>
        <w:rPr>
          <w:spacing w:val="2"/>
          <w:rtl w:val="true"/>
        </w:rPr>
        <w:t>.</w:t>
      </w:r>
      <w:r>
        <w:rPr>
          <w:color w:val="FFFFFF"/>
          <w:spacing w:val="2"/>
          <w:sz w:val="4"/>
          <w:sz w:val="4"/>
          <w:szCs w:val="4"/>
          <w:rtl w:val="true"/>
        </w:rPr>
        <w:t>ב</w:t>
      </w:r>
    </w:p>
    <w:p>
      <w:pPr>
        <w:pStyle w:val="BodyText"/>
        <w:ind w:firstLine="720" w:end="0"/>
        <w:jc w:val="both"/>
        <w:rPr>
          <w:spacing w:val="2"/>
        </w:rPr>
      </w:pPr>
      <w:r>
        <w:rPr>
          <w:spacing w:val="2"/>
          <w:rtl w:val="true"/>
        </w:rPr>
      </w:r>
    </w:p>
    <w:p>
      <w:pPr>
        <w:pStyle w:val="Normal"/>
        <w:ind w:firstLine="720"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 w:val="28"/>
          <w:szCs w:val="28"/>
          <w:rtl w:val="true"/>
        </w:rPr>
        <w:t>הודע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זכות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ערעור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לבית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העליון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Cs w:val="28"/>
        </w:rPr>
        <w:t>45</w:t>
      </w:r>
      <w:r>
        <w:rPr>
          <w:rFonts w:cs="FrankRuehl"/>
          <w:spacing w:val="2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יום</w:t>
      </w:r>
      <w:r>
        <w:rPr>
          <w:rFonts w:cs="FrankRuehl"/>
          <w:spacing w:val="2"/>
          <w:sz w:val="28"/>
          <w:szCs w:val="28"/>
          <w:rtl w:val="true"/>
        </w:rPr>
        <w:t>.</w:t>
      </w:r>
      <w:r>
        <w:rPr>
          <w:rFonts w:cs="FrankRuehl"/>
          <w:color w:val="FFFFFF"/>
          <w:spacing w:val="2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pacing w:val="2"/>
          <w:sz w:val="28"/>
          <w:szCs w:val="28"/>
        </w:rPr>
      </w:pPr>
      <w:r>
        <w:rPr>
          <w:rFonts w:cs="FrankRuehl"/>
          <w:spacing w:val="2"/>
          <w:sz w:val="28"/>
          <w:sz w:val="28"/>
          <w:szCs w:val="28"/>
          <w:rtl w:val="true"/>
        </w:rPr>
        <w:t>ניתן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היום</w:t>
      </w:r>
      <w:r>
        <w:rPr>
          <w:rFonts w:cs="FrankRuehl"/>
          <w:spacing w:val="2"/>
          <w:sz w:val="28"/>
          <w:szCs w:val="28"/>
          <w:rtl w:val="true"/>
        </w:rPr>
        <w:t xml:space="preserve">, </w:t>
      </w:r>
      <w:r>
        <w:rPr>
          <w:rFonts w:cs="FrankRuehl"/>
          <w:spacing w:val="2"/>
          <w:sz w:val="28"/>
          <w:sz w:val="28"/>
          <w:szCs w:val="28"/>
          <w:rtl w:val="true"/>
        </w:rPr>
        <w:t>כ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בטבת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תשס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Cs w:val="28"/>
          <w:rtl w:val="true"/>
        </w:rPr>
        <w:t>(</w:t>
      </w:r>
      <w:r>
        <w:rPr>
          <w:rFonts w:cs="FrankRuehl"/>
          <w:spacing w:val="2"/>
          <w:sz w:val="28"/>
          <w:szCs w:val="28"/>
        </w:rPr>
        <w:t>6</w:t>
      </w:r>
      <w:r>
        <w:rPr>
          <w:rFonts w:cs="FrankRuehl"/>
          <w:spacing w:val="2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בינואר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Cs w:val="28"/>
        </w:rPr>
        <w:t>2005</w:t>
      </w:r>
      <w:r>
        <w:rPr>
          <w:rFonts w:cs="FrankRuehl"/>
          <w:spacing w:val="2"/>
          <w:sz w:val="28"/>
          <w:szCs w:val="28"/>
          <w:rtl w:val="true"/>
        </w:rPr>
        <w:t xml:space="preserve">), </w:t>
      </w:r>
      <w:r>
        <w:rPr>
          <w:rFonts w:cs="FrankRuehl"/>
          <w:spacing w:val="2"/>
          <w:sz w:val="28"/>
          <w:sz w:val="28"/>
          <w:szCs w:val="28"/>
          <w:rtl w:val="true"/>
        </w:rPr>
        <w:t>במעמד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כ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המאשימה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עו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שגיב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עוזרי</w:t>
      </w:r>
      <w:r>
        <w:rPr>
          <w:rFonts w:cs="FrankRuehl"/>
          <w:spacing w:val="2"/>
          <w:sz w:val="28"/>
          <w:szCs w:val="28"/>
          <w:rtl w:val="true"/>
        </w:rPr>
        <w:t xml:space="preserve">, </w:t>
      </w:r>
      <w:r>
        <w:rPr>
          <w:rFonts w:cs="FrankRuehl"/>
          <w:spacing w:val="2"/>
          <w:sz w:val="28"/>
          <w:sz w:val="28"/>
          <w:szCs w:val="28"/>
          <w:rtl w:val="true"/>
        </w:rPr>
        <w:t>הנאשם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ובא</w:t>
      </w:r>
      <w:r>
        <w:rPr>
          <w:rFonts w:cs="FrankRuehl"/>
          <w:spacing w:val="2"/>
          <w:sz w:val="28"/>
          <w:szCs w:val="28"/>
          <w:rtl w:val="true"/>
        </w:rPr>
        <w:t>-</w:t>
      </w:r>
      <w:r>
        <w:rPr>
          <w:rFonts w:cs="FrankRuehl"/>
          <w:spacing w:val="2"/>
          <w:sz w:val="28"/>
          <w:sz w:val="28"/>
          <w:szCs w:val="28"/>
          <w:rtl w:val="true"/>
        </w:rPr>
        <w:t>כוחו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עו</w:t>
      </w:r>
      <w:r>
        <w:rPr>
          <w:rFonts w:cs="FrankRuehl"/>
          <w:spacing w:val="2"/>
          <w:sz w:val="28"/>
          <w:szCs w:val="28"/>
          <w:rtl w:val="true"/>
        </w:rPr>
        <w:t>"</w:t>
      </w:r>
      <w:r>
        <w:rPr>
          <w:rFonts w:cs="FrankRuehl"/>
          <w:spacing w:val="2"/>
          <w:sz w:val="28"/>
          <w:sz w:val="28"/>
          <w:szCs w:val="28"/>
          <w:rtl w:val="true"/>
        </w:rPr>
        <w:t>ד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בלום</w:t>
      </w:r>
      <w:r>
        <w:rPr>
          <w:rFonts w:cs="FrankRuehl"/>
          <w:spacing w:val="2"/>
          <w:sz w:val="28"/>
          <w:szCs w:val="28"/>
          <w:rtl w:val="true"/>
        </w:rPr>
        <w:t xml:space="preserve">, </w:t>
      </w:r>
      <w:r>
        <w:rPr>
          <w:rFonts w:cs="FrankRuehl"/>
          <w:spacing w:val="2"/>
          <w:sz w:val="28"/>
          <w:sz w:val="28"/>
          <w:szCs w:val="28"/>
          <w:rtl w:val="true"/>
        </w:rPr>
        <w:t>ומתורגמן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המשפט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לערבית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מר</w:t>
      </w:r>
      <w:r>
        <w:rPr>
          <w:rFonts w:cs="Times New Roman"/>
          <w:spacing w:val="2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"/>
          <w:sz w:val="28"/>
          <w:sz w:val="28"/>
          <w:szCs w:val="28"/>
          <w:rtl w:val="true"/>
        </w:rPr>
        <w:t>אליאס</w:t>
      </w:r>
      <w:r>
        <w:rPr>
          <w:rFonts w:cs="FrankRuehl"/>
          <w:spacing w:val="2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Times New Roman"/>
          <w:spacing w:val="2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</w:p>
    <w:tbl>
      <w:tblPr>
        <w:tblW w:w="3652" w:type="dxa"/>
        <w:jc w:val="start"/>
        <w:tblInd w:w="48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52"/>
      </w:tblGrid>
      <w:tr>
        <w:trPr/>
        <w:tc>
          <w:tcPr>
            <w:tcW w:w="3652" w:type="dxa"/>
            <w:tcBorders>
              <w:top w:val="single" w:sz="4" w:space="0" w:color="000000"/>
            </w:tcBorders>
          </w:tcPr>
          <w:p>
            <w:pPr>
              <w:pStyle w:val="Heading4"/>
              <w:ind w:end="0"/>
              <w:jc w:val="center"/>
              <w:rPr>
                <w:spacing w:val="2"/>
              </w:rPr>
            </w:pPr>
            <w:r>
              <w:rPr>
                <w:spacing w:val="2"/>
                <w:rtl w:val="true"/>
              </w:rPr>
              <w:t>מיכאלה</w:t>
            </w:r>
            <w:r>
              <w:rPr>
                <w:rFonts w:cs="Times New Roman"/>
                <w:spacing w:val="2"/>
                <w:rtl w:val="true"/>
              </w:rPr>
              <w:t xml:space="preserve"> </w:t>
            </w:r>
            <w:r>
              <w:rPr>
                <w:spacing w:val="2"/>
                <w:rtl w:val="true"/>
              </w:rPr>
              <w:t>שידלובסקי</w:t>
            </w:r>
            <w:r>
              <w:rPr>
                <w:spacing w:val="2"/>
                <w:rtl w:val="true"/>
              </w:rPr>
              <w:t>-</w:t>
            </w:r>
            <w:r>
              <w:rPr>
                <w:spacing w:val="2"/>
                <w:rtl w:val="true"/>
              </w:rPr>
              <w:t>אור</w:t>
            </w:r>
            <w:r>
              <w:rPr>
                <w:rFonts w:cs="Times New Roman"/>
                <w:spacing w:val="2"/>
                <w:rtl w:val="true"/>
              </w:rPr>
              <w:t xml:space="preserve"> </w:t>
            </w:r>
            <w:r>
              <w:rPr>
                <w:spacing w:val="2"/>
                <w:rtl w:val="true"/>
              </w:rPr>
              <w:t xml:space="preserve">, </w:t>
            </w:r>
            <w:r>
              <w:rPr>
                <w:spacing w:val="2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FrankRuehl"/>
          <w:spacing w:val="2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Guttman Yad-Light"/>
          <w:spacing w:val="2"/>
          <w:sz w:val="16"/>
          <w:szCs w:val="20"/>
        </w:rPr>
      </w:pPr>
      <w:r>
        <w:rPr>
          <w:rFonts w:cs="Guttman Yad-Light"/>
          <w:spacing w:val="2"/>
          <w:sz w:val="10"/>
          <w:sz w:val="10"/>
          <w:szCs w:val="12"/>
          <w:rtl w:val="true"/>
        </w:rPr>
        <w:t>קלדנית</w:t>
      </w:r>
      <w:r>
        <w:rPr>
          <w:rFonts w:cs="Guttman Yad-Light"/>
          <w:spacing w:val="2"/>
          <w:sz w:val="10"/>
          <w:szCs w:val="12"/>
          <w:rtl w:val="true"/>
        </w:rPr>
        <w:t xml:space="preserve">: </w:t>
      </w:r>
      <w:r>
        <w:rPr>
          <w:rFonts w:cs="Guttman Yad-Light"/>
          <w:spacing w:val="2"/>
          <w:sz w:val="10"/>
          <w:sz w:val="10"/>
          <w:szCs w:val="12"/>
          <w:rtl w:val="true"/>
        </w:rPr>
        <w:t>צפורה</w:t>
      </w:r>
      <w:r>
        <w:rPr>
          <w:rFonts w:cs="Times New Roman"/>
          <w:spacing w:val="2"/>
          <w:sz w:val="10"/>
          <w:sz w:val="10"/>
          <w:szCs w:val="12"/>
          <w:rtl w:val="true"/>
        </w:rPr>
        <w:t xml:space="preserve"> </w:t>
      </w:r>
      <w:r>
        <w:rPr>
          <w:rFonts w:cs="Guttman Yad-Light"/>
          <w:spacing w:val="2"/>
          <w:sz w:val="10"/>
          <w:sz w:val="10"/>
          <w:szCs w:val="12"/>
          <w:rtl w:val="true"/>
        </w:rPr>
        <w:t>בן</w:t>
      </w:r>
      <w:r>
        <w:rPr>
          <w:rFonts w:cs="Guttman Yad-Light"/>
          <w:spacing w:val="2"/>
          <w:sz w:val="10"/>
          <w:szCs w:val="12"/>
          <w:rtl w:val="true"/>
        </w:rPr>
        <w:t>-</w:t>
      </w:r>
      <w:r>
        <w:rPr>
          <w:rFonts w:cs="Guttman Yad-Light"/>
          <w:spacing w:val="2"/>
          <w:sz w:val="10"/>
          <w:sz w:val="10"/>
          <w:szCs w:val="12"/>
          <w:rtl w:val="true"/>
        </w:rPr>
        <w:t>שבת</w:t>
      </w:r>
    </w:p>
    <w:p>
      <w:pPr>
        <w:pStyle w:val="Normal"/>
        <w:ind w:end="0"/>
        <w:jc w:val="both"/>
        <w:rPr>
          <w:rFonts w:cs="FrankRuehl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color w:val="FFFFFF"/>
          <w:spacing w:val="2"/>
          <w:sz w:val="4"/>
          <w:szCs w:val="4"/>
        </w:rPr>
      </w:pPr>
      <w:r>
        <w:rPr>
          <w:rFonts w:cs="FrankRuehl"/>
          <w:color w:val="FFFFFF"/>
          <w:spacing w:val="2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pacing w:val="2"/>
          <w:sz w:val="4"/>
          <w:szCs w:val="4"/>
        </w:rPr>
      </w:pPr>
      <w:r>
        <w:rPr>
          <w:color w:val="FFFFFF"/>
          <w:spacing w:val="2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pacing w:val="2"/>
        </w:rPr>
      </w:pPr>
      <w:r>
        <w:rPr>
          <w:color w:val="FFFFFF"/>
          <w:spacing w:val="2"/>
          <w:sz w:val="4"/>
          <w:szCs w:val="4"/>
        </w:rPr>
        <w:t>51293715129371</w:t>
      </w:r>
    </w:p>
    <w:p>
      <w:pPr>
        <w:pStyle w:val="Normal"/>
        <w:ind w:end="0"/>
        <w:jc w:val="both"/>
        <w:rPr>
          <w:spacing w:val="2"/>
        </w:rPr>
      </w:pPr>
      <w:r>
        <w:rPr>
          <w:spacing w:val="2"/>
          <w:rtl w:val="true"/>
        </w:rPr>
        <w:t>נוסח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מסמך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זה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כפוף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לשינויי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ניסוח</w:t>
      </w:r>
      <w:r>
        <w:rPr>
          <w:rFonts w:cs="Times New Roman"/>
          <w:spacing w:val="2"/>
          <w:rtl w:val="true"/>
        </w:rPr>
        <w:t xml:space="preserve"> </w:t>
      </w:r>
      <w:r>
        <w:rPr>
          <w:spacing w:val="2"/>
          <w:rtl w:val="true"/>
        </w:rPr>
        <w:t>ועריכה</w:t>
      </w:r>
      <w:bookmarkEnd w:id="3"/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/Users/liorb/Downloads/study2025-p2/m04000318-595.doc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318/04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לוואי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חמידאן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מלאחי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rFonts w:cs="FrankRuehl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start"/>
      <w:outlineLvl w:val="4"/>
    </w:pPr>
    <w:rPr>
      <w:rFonts w:cs="FrankRuehl"/>
      <w:b/>
      <w:bCs/>
      <w:sz w:val="28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rFonts w:cs="FrankRuehl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rFonts w:cs="FrankRuehl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29.a.2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329.a.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case/6132669" TargetMode="External"/><Relationship Id="rId10" Type="http://schemas.openxmlformats.org/officeDocument/2006/relationships/hyperlink" Target="http://www.nevo.co.il/case/21479667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2017-06-19T12:37:00Z</dcterms:created>
  <dc:creator> </dc:creator>
  <dc:description/>
  <cp:keywords/>
  <dc:language>en-IL</dc:language>
  <cp:lastModifiedBy>run</cp:lastModifiedBy>
  <cp:lastPrinted>2005-01-06T09:43:00Z</cp:lastPrinted>
  <dcterms:modified xsi:type="dcterms:W3CDTF">2017-06-19T12:37:00Z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לוואי חמידאן מלאחי</vt:lpwstr>
  </property>
  <property fmtid="{D5CDD505-2E9C-101B-9397-08002B2CF9AE}" pid="4" name="CASENOTES1">
    <vt:lpwstr>ProcID=133;209&amp;PartA=910&amp;PartC=85</vt:lpwstr>
  </property>
  <property fmtid="{D5CDD505-2E9C-101B-9397-08002B2CF9AE}" pid="5" name="CASESLISTTMP1">
    <vt:lpwstr>6132669</vt:lpwstr>
  </property>
  <property fmtid="{D5CDD505-2E9C-101B-9397-08002B2CF9AE}" pid="6" name="CITY">
    <vt:lpwstr>י-ם</vt:lpwstr>
  </property>
  <property fmtid="{D5CDD505-2E9C-101B-9397-08002B2CF9AE}" pid="7" name="DATE">
    <vt:lpwstr>20050106</vt:lpwstr>
  </property>
  <property fmtid="{D5CDD505-2E9C-101B-9397-08002B2CF9AE}" pid="8" name="ISABSTRACT">
    <vt:lpwstr>Y</vt:lpwstr>
  </property>
  <property fmtid="{D5CDD505-2E9C-101B-9397-08002B2CF9AE}" pid="9" name="JUDGE">
    <vt:lpwstr>מ' שידלובסקי-אור</vt:lpwstr>
  </property>
  <property fmtid="{D5CDD505-2E9C-101B-9397-08002B2CF9AE}" pid="10" name="LAWLISTTMP1">
    <vt:lpwstr>70301/329.a.2:3;144.b:3;340a:3</vt:lpwstr>
  </property>
  <property fmtid="{D5CDD505-2E9C-101B-9397-08002B2CF9AE}" pid="11" name="LAWYER">
    <vt:lpwstr>אופיר שגיא;בלום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318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