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szCs w:val="26"/>
        </w:rPr>
      </w:pPr>
      <w:bookmarkStart w:id="0" w:name="LastJudge"/>
      <w:bookmarkEnd w:id="0"/>
      <w:r>
        <w:rPr>
          <w:b/>
          <w:b/>
          <w:bCs/>
          <w:szCs w:val="26"/>
          <w:rtl w:val="true"/>
        </w:rPr>
        <w:t>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Cs/>
                <w:szCs w:val="26"/>
              </w:rPr>
              <w:t>000427/09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לפני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כב</w:t>
            </w:r>
            <w:r>
              <w:rPr>
                <w:b/>
                <w:bCs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בן</w:t>
            </w:r>
            <w:r>
              <w:rPr>
                <w:b/>
                <w:bCs/>
                <w:szCs w:val="26"/>
                <w:rtl w:val="true"/>
              </w:rPr>
              <w:t>-</w:t>
            </w:r>
            <w:r>
              <w:rPr>
                <w:b/>
                <w:b/>
                <w:bCs/>
                <w:szCs w:val="26"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תאריך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07/02/2010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12"/>
        </w:rPr>
      </w:pPr>
      <w:r>
        <w:rPr>
          <w:szCs w:val="12"/>
          <w:rtl w:val="true"/>
        </w:rPr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שם_א"/>
            <w:r>
              <w:rPr>
                <w:b/>
                <w:b/>
                <w:bCs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באמצעות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פרקליטות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מחוז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ירושלים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(</w:t>
            </w:r>
            <w:r>
              <w:rPr>
                <w:szCs w:val="26"/>
                <w:rtl w:val="true"/>
              </w:rPr>
              <w:t>פלילי</w:t>
            </w:r>
            <w:r>
              <w:rPr>
                <w:szCs w:val="26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4" w:name="שם_ב"/>
            <w:r>
              <w:rPr>
                <w:b/>
                <w:b/>
                <w:bCs/>
                <w:szCs w:val="26"/>
                <w:rtl w:val="true"/>
              </w:rPr>
              <w:t>ולדיסלב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ליזיאקין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מיכאל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עירוני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המאשימה</w:t>
            </w:r>
            <w:r>
              <w:rPr>
                <w:b/>
                <w:bCs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Cs w:val="26"/>
                <w:rtl w:val="true"/>
              </w:rPr>
              <w:t>עו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גיאת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וב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עו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עירוני</w:t>
            </w:r>
          </w:p>
        </w:tc>
      </w:tr>
    </w:tbl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רקע עובדתי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bookmarkStart w:id="15" w:name="ABSTRACT_START"/>
      <w:bookmarkEnd w:id="15"/>
      <w:r>
        <w:rPr>
          <w:rFonts w:ascii="Arial" w:hAnsi="Arial" w:cs="Arial"/>
          <w:sz w:val="26"/>
          <w:sz w:val="26"/>
          <w:szCs w:val="26"/>
          <w:rtl w:val="true"/>
        </w:rPr>
        <w:t>הנאשם הורשע לפי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בעבירה בנשק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סעיף </w:t>
      </w:r>
      <w:r>
        <w:rPr>
          <w:rFonts w:cs="Arial" w:ascii="Arial" w:hAnsi="Arial"/>
          <w:sz w:val="26"/>
          <w:szCs w:val="26"/>
        </w:rPr>
        <w:t>144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ובניסיון סחיטה בכוח ובאיומים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סעיפים </w:t>
      </w:r>
      <w:r>
        <w:rPr>
          <w:rFonts w:cs="Arial" w:ascii="Arial" w:hAnsi="Arial"/>
          <w:sz w:val="26"/>
          <w:szCs w:val="26"/>
        </w:rPr>
        <w:t>427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סעיף </w:t>
      </w: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>חוק העונשין</w:t>
      </w:r>
      <w:r>
        <w:rPr>
          <w:rFonts w:cs="Arial" w:ascii="Arial" w:hAnsi="Arial"/>
          <w:color w:val="000000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היה בין הצדדים הסדר לעניין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העובדות בהן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24.8.09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סמוך </w:t>
      </w:r>
      <w:r>
        <w:rPr>
          <w:rFonts w:cs="Arial" w:ascii="Arial" w:hAnsi="Arial"/>
          <w:sz w:val="26"/>
          <w:szCs w:val="26"/>
        </w:rPr>
        <w:t>09:20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התקשר המתלונן לנאשם והשניים קבעו כי האחרון יאסוף את המתלונן מביתו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שהלה יצטרף לנאשם לעבודה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שתמורתה יקבלו השניים אלפי שקלים כל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בשלב זה גמלה בליבו של הנאשם ההחלטה לקחת מהמתלונן את אקדחו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במטרה לסחוט מן המתלונן כסף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שלטענת הנאשם היה המתלונן חייב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סמוך לאחר מכן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הגיע הנאשם לביתו של המתלונן ברכבו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אמר למתלונן כי עליהם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להעביר זמן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עד שיצאו לבצע את העבודה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הציע שימתינו בביתו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בדרכם לביתו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עצר הנאשם בחנות מכולת וקנה 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בטרם נכנסו לבית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הוציא המתלונן לבקשת הנאשם את אקדחו מנרתיקו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שהיה מורכב על  חגורתו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והניחו בתא הכפפות ברכב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השניים ישבו בביתו של הנאשם והמתלונן שתה כוס 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בהמשך הציע הנאשם למתלונן לקחת כדור לטיפול בהרניה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ממנה סובל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והמתלונן סרב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מיד בסמוך לכך הכין הנאשם קפה לו ולמתלונן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בשלב זה החדיר הנאשם לכוס הקפה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מבלי שהלה הבחין בכך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כמוסה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שטיבה אינו ידוע במדויק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אותה לקח מבעוד מועד מבית החולים הפסיכיאטרי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כפר שאול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בו הוא עובד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זמן  מה לאחר מכן התערפלה הכרתו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ואז נסעו השניים לכיוון עטרות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שם אמר הנאשם למתלונן לרדת מן הרכב ולהמתין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המתלונן עשה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עזב את המקום ברכבו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המתלונן נמצא סמוך לגדר ההפרדה באזור עטרות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מעורפל הכרה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אקדחו וללא מסמכיו האישיים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זמן מה לאחר מכן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הוציא הנאשם את אקדחו של המתלונן מתא הכפפות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והחביא אותו במקום מסתור בבית החולים בו הוא עובד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המאשימה טוענת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יש להטיל על הנאשם מספר 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ופיצוי למתלונן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אמנם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ערה לכך שהמדובר באדם כבן 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שהודה מיד ונטל אחריות למעשיו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 חומרת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שיש בהם פוטנציאל קטלני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אינה מאפשרת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להקל עימו כפי שמציע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במעשה מתוכנן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נטל כדור מבית החולים הפסיכיאטרי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לקח את נשקו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השקה אותו בעורמה במשקה שבתוכו המיס את הכדור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והוריד אותו ברכבו בעטרות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במצב בו אינו מסוגל לדאוג לעצמו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אשר לנטילת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אמנם הנאשם מחזיק נשק ברישיון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נטילת נשקו של המתלונן הינה מעשה חמור כשלעצמו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רקעו הנורמטיבי של הנאשם אך מחמיר את המעשה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המדובר בעבירה שבוצעה מתוך הבנה מלאה של הפסול שבמעשה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ומתוך תכנון ושיקול 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הודה בכך כי העבירות שביצע הנאשם חמורות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לחינם נושאות הן עימן עונש מאסר מירבי חמור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 סבור הוא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הרקע לביצוען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נסיבותיו האישיות של הנאשם ומאפייני אישיותו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כל אלה מצדיקים הימנעות משליחתו של הנאשם לכלא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שממליץ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היה במצוקה רבה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הלווה למתלונן את כספו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הבטחה שהלה יחזיר לו את ההלוואה תוך פרק זמן קצר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בכסף שנועד לתשלום דמי השכירות של דירת המשפחה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לא סיפר לאשתו ולילדיו שהלווה את הכסף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וכשקרב מועד תשלום דמי השכירות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והמתלונן לא פרע את חובו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איבד את שיקול דעתו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הצביע על אישיותו החיובית כפי שהיא מצטיירת בתסקיר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קשיי הקליטה בארץ מהם סובלת המשפחה מעת שהגיעה ארצה מאוזבקיסטן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היה הנאשם בעל מעמד מקצועי בכיר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המצוקה הכלכלית של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שהלכה והחמירה עם מעצרו של הנאשם בגין העבירות שביצע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ושהייתו במשך תקופה ממושכת במעצר 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המפרנס היחיד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עמד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על חרטתו הכנה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כך שהוביל את השוטרים מיד למקום בו החביא את נשקו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כך שכתב האישום נשען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רובו ככולו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הודאת הנאשם כבר במשטרה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על מה שהתרחש בביתו בטרם יצאו הוא והמתלונן לכיוון עטרות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יכולה הייתה המשטרה ללמוד אלא מפיו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תסקיר המבחן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כבן 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עלה ארצה עם אשתו ושני ילדיו בשנת </w:t>
      </w:r>
      <w:r>
        <w:rPr>
          <w:rFonts w:cs="Arial" w:ascii="Arial" w:hAnsi="Arial"/>
          <w:sz w:val="26"/>
          <w:szCs w:val="26"/>
        </w:rPr>
        <w:t>2001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מאוזבקיסטן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עד לאירוע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עבד כמאבטח בחברת שמירה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וככוח עזר בבית החולים הפסיכיאטרי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כפר שאול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הבירורים שערך שירות המבחן אודותיו העלו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המדובר באדם חיובי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המגלה רגישות ואמפטיה כלפי הסובבים אותו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תכונה זו באה לידי ביטוי בטיפולו המסור בחסרי הישע השוהים בבית החולים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להערכת שירות המבחן האירוע בו מדובר הינו חריג ואינו מאפיין את אישיותו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תפקודו תקין ועקבי במהלך 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מאז מעצרו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חש הנאשם אשמה ובושה רבה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לוקח אחריות לביצוען של העבירות והביע חרטה כנה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מוכן לשאת בתוצאות ואף הביע נכונות לתהליך טיפולי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למנוע הישנותה של התנהגות פוגעת בעתיד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אף חומרת המעשים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ההתרשמות כי המדובר באדם בעל ערכים חברתיים חיוביים ותפקוד נורמטיבי עד 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ממליץ שירות המבחן להטיל על הנאשם מאסר שירוצה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ממליץ השירות על העמדתו של הנאשם במבחן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הכרעה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אכן קיים פער ניכר בין אישיותו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שהיא מצטיירת בתסקיר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לבין המעשים שעשה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בצדק עמדה המאשימה על הסיכון שיצר הנאשם לחייו של המתלונן או לשלמות גופו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התכנון המוקדם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שכלל הצטיידות בתרופה שהיה בה לעמעם את הכרתו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הבאתו לביתו בתואנת שווא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נטילת הנשק ממנו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והשארתו בודד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סמוך לגדר ההפרדה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כשאין הוא מסוגל להגן על עצמו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נראה כי הנאשם לא היה מגיע לביצוע מעשים חמורים כאלה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אלמלא התנהגותו של המתלונן כלפיו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בכך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כדי להצדיק את המעשים החמורים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יש בנתון זה כדי לתמוך בהערכת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אין לפנינו עבריין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אלא באדם שסטה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סטייה חמורה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מהתנהגותו הנורמטיבית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מצוקה אליה קלע אותו המתלונן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התנהגותו לאחר מעשה אף היא מעידה על כך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הודאתו המלאה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הכוללת מסירת פרטים שהמשטרה לא יכולה הייתה להגיע אליהם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ומסירת האקדח שלקח מן המתלונן והחביא במקום מסתור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לרגשי הבושה המתוארים בתסקיר המבחן הייתי עדה באופן בלתי אמצעי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כשהנאשם ביקש להוסיף על דברי סנגורו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וניכר היה עד כמה מייסרת אותו התנהגותו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נראה בעיני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לנוכח דמותו של הנאשם והרקע למעשים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לומר כי שיקול הגמול צריך לקבל מעמד בכורה בשיקולי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 גם נכון לומר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אין הנאשם זקוק להרתעה אישית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ניתן להעריך במידה רבה של 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שמעשים מעין אלה לא יחזרו על עצמם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ודאי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הנאשם מבקש להיעזר בשירות המבחן ולעמוד לפיקוח קצין 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גישתו של הנאשם היא גישה כנה ביותר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הנסיבות האופפות את ביצוע העבירה ואת אישיותו של הנאשם הן חריגות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ענישה מקלה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שתיתן לשיקולים אלה מעמד בכורה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תוכל להוות תקדים למקרים אחרים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איני סבורה כי נכון יהיה לשרת את התכלית של הרתעת הרבים באמצעות ענישה שאינה מביאה בחשבון את הנסיבות יוצאות הדופן של העניין שלפניי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בקשת המקרים העשויים לבוא בגדרה של עבירה חמורה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בית המשפט ליתן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במקרים המתאימים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מעמד בכורה לשיקולי שיקום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למשל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9090/00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שניידרמן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3477/09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אלעווד חדר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כזהו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עניינו של הנאשם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סוף דבר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החלטתי להטיל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אותם יוכל הנאשם לרצות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יימצא מתאים לכך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שהנאשם לא יבצע כל עבירת נשק או כל עבירת אלימות שהיא פשע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יהיה נתון לפיקוח קצין מבחן למשך 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וישתתף בכל תכנית טיפולית שקצין המבחן ימצא לנכון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250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 שבועיים מאסר תמורתם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 פיצוי למתלונן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28"/>
          <w:szCs w:val="26"/>
        </w:rPr>
      </w:pPr>
      <w:bookmarkStart w:id="18" w:name="Decision1"/>
      <w:r>
        <w:rPr>
          <w:b/>
          <w:b/>
          <w:bCs/>
          <w:sz w:val="28"/>
          <w:sz w:val="28"/>
          <w:szCs w:val="26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כ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בשבט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תש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ע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Cs/>
          <w:sz w:val="28"/>
          <w:szCs w:val="26"/>
        </w:rPr>
        <w:t>7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בפברואר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2010</w:t>
      </w:r>
      <w:r>
        <w:rPr>
          <w:b/>
          <w:bCs/>
          <w:sz w:val="28"/>
          <w:szCs w:val="26"/>
          <w:rtl w:val="true"/>
        </w:rPr>
        <w:t xml:space="preserve">) </w:t>
      </w:r>
      <w:r>
        <w:rPr>
          <w:b/>
          <w:b/>
          <w:bCs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הצדדים</w:t>
      </w:r>
      <w:r>
        <w:rPr>
          <w:b/>
          <w:bCs/>
          <w:sz w:val="28"/>
          <w:szCs w:val="26"/>
          <w:rtl w:val="true"/>
        </w:rPr>
        <w:t>.</w:t>
      </w:r>
      <w:bookmarkEnd w:id="18"/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                                                                     </w:t>
      </w:r>
      <w:r>
        <w:rPr>
          <w:rtl w:val="true"/>
        </w:rPr>
        <w:tab/>
        <w:t xml:space="preserve">      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Heading1"/>
        <w:ind w:end="0"/>
        <w:jc w:val="center"/>
        <w:rPr/>
      </w:pPr>
      <w:bookmarkStart w:id="19" w:name="Decision2"/>
      <w:r>
        <w:rPr>
          <w:rtl w:val="true"/>
        </w:rPr>
        <w:t>החלטה</w:t>
      </w:r>
      <w:bookmarkEnd w:id="19"/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הממונה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מתבקש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להמציא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בדבר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מידת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התאמתו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חוות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תוגש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1.3.10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נדחה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להשלמת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3.3.10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בשעה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13.30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המזכירות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תמציא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העתק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ההחלטה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וגזר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לממונה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למבוגרים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ליצור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טלפון</w:t>
      </w:r>
      <w:r>
        <w:rPr>
          <w:szCs w:val="26"/>
          <w:rtl w:val="true"/>
        </w:rPr>
        <w:t xml:space="preserve">: </w:t>
      </w:r>
      <w:r>
        <w:rPr>
          <w:szCs w:val="26"/>
        </w:rPr>
        <w:t>6156652-052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השייך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באמצעות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כוחו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עירוני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בפקס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6221237-02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כ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בשבט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תש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ע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Cs/>
          <w:sz w:val="28"/>
          <w:szCs w:val="26"/>
        </w:rPr>
        <w:t>7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בפברואר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2010</w:t>
      </w:r>
      <w:r>
        <w:rPr>
          <w:b/>
          <w:bCs/>
          <w:sz w:val="28"/>
          <w:szCs w:val="26"/>
          <w:rtl w:val="true"/>
        </w:rPr>
        <w:t xml:space="preserve">) </w:t>
      </w:r>
      <w:r>
        <w:rPr>
          <w:b/>
          <w:b/>
          <w:bCs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הצדדים</w:t>
      </w:r>
      <w:r>
        <w:rPr>
          <w:b/>
          <w:bCs/>
          <w:sz w:val="28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בן אור </w:t>
      </w:r>
      <w:r>
        <w:rPr>
          <w:rFonts w:cs="David" w:ascii="David" w:hAnsi="David"/>
          <w:color w:val="000000"/>
          <w:sz w:val="22"/>
          <w:szCs w:val="22"/>
        </w:rPr>
        <w:t>54678313-427/09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</w:t>
      </w:r>
      <w:r>
        <w:rPr>
          <w:rtl w:val="true"/>
        </w:rPr>
        <w:tab/>
        <w:t xml:space="preserve">      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Cs w:val="26"/>
        </w:rPr>
      </w:pPr>
      <w:r>
        <w:rPr>
          <w:color w:val="000000"/>
          <w:szCs w:val="26"/>
          <w:rtl w:val="true"/>
        </w:rPr>
        <w:t>נוסח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מסמך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זה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כפוף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לשינויי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ניסוח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/Users/liorb/Downloads/study2025-p2/m09000427-157.doc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427/09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ולדיסלב ליזיאקין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440"/>
        </w:tabs>
        <w:ind w:start="14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uppressLineNumbers/>
      <w:ind w:hanging="0" w:start="0" w:end="0"/>
      <w:jc w:val="both"/>
    </w:pPr>
    <w:rPr>
      <w:sz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9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144854" TargetMode="External"/><Relationship Id="rId5" Type="http://schemas.openxmlformats.org/officeDocument/2006/relationships/hyperlink" Target="http://www.nevo.co.il/case/5898437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2016-02-08T08:42:00Z</dcterms:created>
  <dc:creator> </dc:creator>
  <dc:description/>
  <cp:keywords/>
  <dc:language>en-IL</dc:language>
  <cp:lastModifiedBy>hofit</cp:lastModifiedBy>
  <cp:lastPrinted>2010-02-07T15:16:00Z</cp:lastPrinted>
  <dcterms:modified xsi:type="dcterms:W3CDTF">2016-02-08T08:42:00Z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ולדיסלב ליזיאקין</vt:lpwstr>
  </property>
  <property fmtid="{D5CDD505-2E9C-101B-9397-08002B2CF9AE}" pid="4" name="CASESLISTTMP1">
    <vt:lpwstr>6144854;5898437</vt:lpwstr>
  </property>
  <property fmtid="{D5CDD505-2E9C-101B-9397-08002B2CF9AE}" pid="5" name="CITY">
    <vt:lpwstr>י-ם</vt:lpwstr>
  </property>
  <property fmtid="{D5CDD505-2E9C-101B-9397-08002B2CF9AE}" pid="6" name="DATE">
    <vt:lpwstr>20100207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בן אור</vt:lpwstr>
  </property>
  <property fmtid="{D5CDD505-2E9C-101B-9397-08002B2CF9AE}" pid="10" name="LAWLISTTMP1">
    <vt:lpwstr>70301</vt:lpwstr>
  </property>
  <property fmtid="{D5CDD505-2E9C-101B-9397-08002B2CF9AE}" pid="11" name="LAWYER">
    <vt:lpwstr>מיכאל עירוני;זוהר גיאת 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427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m09000427 157 htm</vt:lpwstr>
  </property>
  <property fmtid="{D5CDD505-2E9C-101B-9397-08002B2CF9AE}" pid="36" name="TYPE">
    <vt:lpwstr>2</vt:lpwstr>
  </property>
  <property fmtid="{D5CDD505-2E9C-101B-9397-08002B2CF9AE}" pid="37" name="TYPE_ABS_DATE">
    <vt:lpwstr>390020100207</vt:lpwstr>
  </property>
  <property fmtid="{D5CDD505-2E9C-101B-9397-08002B2CF9AE}" pid="38" name="TYPE_N_DATE">
    <vt:lpwstr>39020100207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