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בדלתיים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סגורות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בית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בירושלים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000442/04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24/01/2006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בענין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hanging="1701" w:start="1701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Normal"/>
              <w:spacing w:lineRule="auto" w:line="240"/>
              <w:ind w:hanging="1701" w:start="1701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     חגית רייזמן</w:t>
            </w:r>
          </w:p>
          <w:p>
            <w:pPr>
              <w:pStyle w:val="Normal"/>
              <w:spacing w:lineRule="auto" w:line="240"/>
              <w:ind w:hanging="1701" w:start="1701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240"/>
              <w:ind w:hanging="1701" w:start="1701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Normal"/>
              <w:spacing w:lineRule="auto" w:line="240"/>
              <w:ind w:hanging="1701" w:start="1701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     איתן להמן</w:t>
            </w:r>
          </w:p>
          <w:p>
            <w:pPr>
              <w:pStyle w:val="Normal"/>
              <w:spacing w:lineRule="auto" w:line="240"/>
              <w:ind w:hanging="1701" w:start="1701"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3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אלמוני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87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לתיקון דיני העונשין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דרכי ענישה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1954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  <w:bookmarkStart w:id="9" w:name="סוג_מסמך"/>
      <w:bookmarkStart w:id="10" w:name="סוג_מסמך"/>
      <w:bookmarkEnd w:id="10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sz w:val="30"/>
          <w:szCs w:val="28"/>
        </w:rPr>
        <w:t>1</w:t>
      </w:r>
      <w:r>
        <w:rPr>
          <w:sz w:val="30"/>
          <w:szCs w:val="28"/>
          <w:rtl w:val="true"/>
        </w:rPr>
        <w:t>.</w:t>
        <w:tab/>
      </w:r>
      <w:bookmarkStart w:id="15" w:name="ABSTRACT_START"/>
      <w:bookmarkEnd w:id="15"/>
      <w:r>
        <w:rPr>
          <w:sz w:val="30"/>
          <w:sz w:val="30"/>
          <w:szCs w:val="28"/>
          <w:rtl w:val="true"/>
        </w:rPr>
        <w:t>בהכרעת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שניתנה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3.1.06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פורטו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בהרחבה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שבוצעו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באישומים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השונים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שנכללו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בכתב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האישום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ושבגינם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</w:t>
      </w:r>
      <w:r>
        <w:rPr>
          <w:sz w:val="30"/>
          <w:szCs w:val="28"/>
          <w:rtl w:val="true"/>
        </w:rPr>
        <w:t xml:space="preserve"> (</w:t>
      </w:r>
      <w:r>
        <w:rPr>
          <w:sz w:val="30"/>
          <w:sz w:val="30"/>
          <w:szCs w:val="28"/>
          <w:rtl w:val="true"/>
        </w:rPr>
        <w:t>להלן</w:t>
      </w:r>
      <w:r>
        <w:rPr>
          <w:sz w:val="30"/>
          <w:szCs w:val="28"/>
          <w:rtl w:val="true"/>
        </w:rPr>
        <w:t xml:space="preserve">: </w:t>
      </w:r>
      <w:r>
        <w:rPr>
          <w:sz w:val="30"/>
          <w:sz w:val="30"/>
          <w:szCs w:val="28"/>
          <w:rtl w:val="true"/>
        </w:rPr>
        <w:t>בוזגלו</w:t>
      </w:r>
      <w:r>
        <w:rPr>
          <w:sz w:val="30"/>
          <w:szCs w:val="28"/>
          <w:rtl w:val="true"/>
        </w:rPr>
        <w:t xml:space="preserve">) </w:t>
      </w:r>
      <w:r>
        <w:rPr>
          <w:sz w:val="30"/>
          <w:sz w:val="30"/>
          <w:szCs w:val="28"/>
          <w:rtl w:val="true"/>
        </w:rPr>
        <w:t>בנסיון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לשוד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התפרעות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ותקיפה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בנסיבות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מחמירות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Cs w:val="28"/>
        </w:rPr>
        <w:t>2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עבירות</w:t>
      </w:r>
      <w:r>
        <w:rPr>
          <w:sz w:val="30"/>
          <w:szCs w:val="28"/>
          <w:rtl w:val="true"/>
        </w:rPr>
        <w:t xml:space="preserve">), </w:t>
      </w:r>
      <w:r>
        <w:rPr>
          <w:sz w:val="30"/>
          <w:sz w:val="30"/>
          <w:szCs w:val="28"/>
          <w:rtl w:val="true"/>
        </w:rPr>
        <w:t>גניבה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תקיפת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שוטר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בנסיבות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מחמירות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איומים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והעלבת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עובד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ציבור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19"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סע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30"/>
            <w:szCs w:val="28"/>
            <w:u w:val="single"/>
          </w:rPr>
          <w:t>403</w:t>
        </w:r>
      </w:hyperlink>
      <w:r>
        <w:rPr>
          <w:sz w:val="30"/>
          <w:szCs w:val="28"/>
          <w:rtl w:val="true"/>
        </w:rPr>
        <w:t xml:space="preserve">, </w:t>
      </w:r>
      <w:hyperlink r:id="rId20">
        <w:r>
          <w:rPr>
            <w:rStyle w:val="Hyperlink"/>
            <w:color w:val="0000FF"/>
            <w:sz w:val="30"/>
            <w:szCs w:val="28"/>
            <w:u w:val="single"/>
          </w:rPr>
          <w:t>152</w:t>
        </w:r>
      </w:hyperlink>
      <w:r>
        <w:rPr>
          <w:sz w:val="30"/>
          <w:szCs w:val="28"/>
          <w:rtl w:val="true"/>
        </w:rPr>
        <w:t xml:space="preserve">, </w:t>
      </w:r>
      <w:hyperlink r:id="rId21">
        <w:r>
          <w:rPr>
            <w:rStyle w:val="Hyperlink"/>
            <w:color w:val="0000FF"/>
            <w:sz w:val="30"/>
            <w:szCs w:val="28"/>
            <w:u w:val="single"/>
          </w:rPr>
          <w:t>379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בצירוף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22">
        <w:r>
          <w:rPr>
            <w:rStyle w:val="Hyperlink"/>
            <w:color w:val="0000FF"/>
            <w:sz w:val="30"/>
            <w:szCs w:val="28"/>
            <w:u w:val="single"/>
          </w:rPr>
          <w:t>382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>)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</w:t>
      </w:r>
      <w:r>
        <w:rPr>
          <w:sz w:val="30"/>
          <w:szCs w:val="28"/>
          <w:rtl w:val="true"/>
        </w:rPr>
        <w:t>-</w:t>
      </w:r>
      <w:hyperlink r:id="rId23">
        <w:r>
          <w:rPr>
            <w:rStyle w:val="Hyperlink"/>
            <w:color w:val="0000FF"/>
            <w:sz w:val="30"/>
            <w:szCs w:val="28"/>
            <w:u w:val="single"/>
          </w:rPr>
          <w:t>383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</w:t>
      </w:r>
      <w:hyperlink r:id="rId24">
        <w:r>
          <w:rPr>
            <w:rStyle w:val="Hyperlink"/>
            <w:sz w:val="30"/>
            <w:sz w:val="30"/>
            <w:szCs w:val="28"/>
            <w:rtl w:val="true"/>
          </w:rPr>
          <w:t>חוק</w:t>
        </w:r>
        <w:r>
          <w:rPr>
            <w:rStyle w:val="Hyperlink"/>
            <w:rFonts w:cs="Times New Roman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sz w:val="30"/>
            <w:sz w:val="30"/>
            <w:szCs w:val="28"/>
            <w:rtl w:val="true"/>
          </w:rPr>
          <w:t>העונשין</w:t>
        </w:r>
      </w:hyperlink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התשל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ז</w:t>
      </w:r>
      <w:r>
        <w:rPr>
          <w:sz w:val="30"/>
          <w:szCs w:val="28"/>
          <w:rtl w:val="true"/>
        </w:rPr>
        <w:t>-</w:t>
      </w:r>
      <w:r>
        <w:rPr>
          <w:sz w:val="30"/>
          <w:szCs w:val="28"/>
        </w:rPr>
        <w:t>1977</w:t>
      </w:r>
      <w:r>
        <w:rPr>
          <w:sz w:val="30"/>
          <w:szCs w:val="28"/>
          <w:rtl w:val="true"/>
        </w:rPr>
        <w:t xml:space="preserve"> </w:t>
      </w:r>
      <w:bookmarkStart w:id="16" w:name="ABSTRACT_END"/>
      <w:bookmarkEnd w:id="16"/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להלן</w:t>
      </w:r>
      <w:r>
        <w:rPr>
          <w:sz w:val="30"/>
          <w:szCs w:val="28"/>
          <w:rtl w:val="true"/>
        </w:rPr>
        <w:t xml:space="preserve">: </w:t>
      </w:r>
      <w:r>
        <w:rPr>
          <w:sz w:val="30"/>
          <w:sz w:val="30"/>
          <w:szCs w:val="28"/>
          <w:rtl w:val="true"/>
        </w:rPr>
        <w:t>החוק</w:t>
      </w:r>
      <w:r>
        <w:rPr>
          <w:sz w:val="30"/>
          <w:szCs w:val="28"/>
          <w:rtl w:val="true"/>
        </w:rPr>
        <w:t>)).</w:t>
      </w:r>
    </w:p>
    <w:p>
      <w:pPr>
        <w:pStyle w:val="Normal"/>
        <w:spacing w:lineRule="auto" w:line="480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sz w:val="30"/>
          <w:sz w:val="30"/>
          <w:szCs w:val="28"/>
          <w:rtl w:val="true"/>
        </w:rPr>
        <w:t>לענין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2</w:t>
      </w:r>
      <w:r>
        <w:rPr>
          <w:sz w:val="30"/>
          <w:szCs w:val="28"/>
          <w:rtl w:val="true"/>
        </w:rPr>
        <w:t xml:space="preserve"> (</w:t>
      </w:r>
      <w:r>
        <w:rPr>
          <w:sz w:val="30"/>
          <w:sz w:val="30"/>
          <w:szCs w:val="28"/>
          <w:rtl w:val="true"/>
        </w:rPr>
        <w:t>שהיה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קטין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ביצוע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להלן</w:t>
      </w:r>
      <w:r>
        <w:rPr>
          <w:sz w:val="30"/>
          <w:szCs w:val="28"/>
          <w:rtl w:val="true"/>
        </w:rPr>
        <w:t>: (</w:t>
      </w:r>
      <w:r>
        <w:rPr>
          <w:sz w:val="30"/>
          <w:sz w:val="30"/>
          <w:szCs w:val="28"/>
          <w:rtl w:val="true"/>
        </w:rPr>
        <w:t>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2</w:t>
      </w:r>
      <w:r>
        <w:rPr>
          <w:sz w:val="30"/>
          <w:szCs w:val="28"/>
          <w:rtl w:val="true"/>
        </w:rPr>
        <w:t xml:space="preserve">)) </w:t>
      </w:r>
      <w:r>
        <w:rPr>
          <w:sz w:val="30"/>
          <w:sz w:val="30"/>
          <w:szCs w:val="28"/>
          <w:rtl w:val="true"/>
        </w:rPr>
        <w:t>נקבע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דלקמן</w:t>
      </w:r>
      <w:r>
        <w:rPr>
          <w:sz w:val="30"/>
          <w:szCs w:val="28"/>
          <w:rtl w:val="true"/>
        </w:rPr>
        <w:t xml:space="preserve">: </w:t>
      </w:r>
      <w:r>
        <w:rPr>
          <w:sz w:val="30"/>
          <w:sz w:val="30"/>
          <w:szCs w:val="28"/>
          <w:rtl w:val="true"/>
        </w:rPr>
        <w:t>נסיון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לשוד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תקיפה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בנסיבות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מחמירות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ופציעה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בנסיבות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מחמירות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תקיפת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שוטר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מילוי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תפקידו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25"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סע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 xml:space="preserve">'  </w:t>
        </w:r>
        <w:r>
          <w:rPr>
            <w:rStyle w:val="Hyperlink"/>
            <w:color w:val="0000FF"/>
            <w:sz w:val="30"/>
            <w:szCs w:val="28"/>
            <w:u w:val="single"/>
          </w:rPr>
          <w:t>403</w:t>
        </w:r>
      </w:hyperlink>
      <w:r>
        <w:rPr>
          <w:sz w:val="30"/>
          <w:szCs w:val="28"/>
          <w:rtl w:val="true"/>
        </w:rPr>
        <w:t xml:space="preserve">, </w:t>
      </w:r>
      <w:hyperlink r:id="rId26">
        <w:r>
          <w:rPr>
            <w:rStyle w:val="Hyperlink"/>
            <w:color w:val="0000FF"/>
            <w:sz w:val="30"/>
            <w:szCs w:val="28"/>
            <w:u w:val="single"/>
          </w:rPr>
          <w:t>379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בצירוף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27"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סע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30"/>
            <w:szCs w:val="28"/>
            <w:u w:val="single"/>
          </w:rPr>
          <w:t>382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>)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</w:t>
      </w:r>
      <w:r>
        <w:rPr>
          <w:sz w:val="30"/>
          <w:szCs w:val="28"/>
          <w:rtl w:val="true"/>
        </w:rPr>
        <w:t>-</w:t>
      </w:r>
      <w:hyperlink r:id="rId28">
        <w:r>
          <w:rPr>
            <w:rStyle w:val="Hyperlink"/>
            <w:sz w:val="30"/>
            <w:szCs w:val="28"/>
          </w:rPr>
          <w:t>334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בנסיבות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29">
        <w:r>
          <w:rPr>
            <w:rStyle w:val="Hyperlink"/>
            <w:sz w:val="30"/>
            <w:sz w:val="30"/>
            <w:szCs w:val="28"/>
            <w:rtl w:val="true"/>
          </w:rPr>
          <w:t>סע</w:t>
        </w:r>
        <w:r>
          <w:rPr>
            <w:rStyle w:val="Hyperlink"/>
            <w:sz w:val="30"/>
            <w:szCs w:val="28"/>
            <w:rtl w:val="true"/>
          </w:rPr>
          <w:t xml:space="preserve">' </w:t>
        </w:r>
        <w:r>
          <w:rPr>
            <w:rStyle w:val="Hyperlink"/>
            <w:sz w:val="30"/>
            <w:szCs w:val="28"/>
          </w:rPr>
          <w:t>335</w:t>
        </w:r>
        <w:r>
          <w:rPr>
            <w:rStyle w:val="Hyperlink"/>
            <w:sz w:val="30"/>
            <w:szCs w:val="28"/>
            <w:rtl w:val="true"/>
          </w:rPr>
          <w:t>(</w:t>
        </w:r>
        <w:r>
          <w:rPr>
            <w:rStyle w:val="Hyperlink"/>
            <w:sz w:val="30"/>
            <w:szCs w:val="28"/>
          </w:rPr>
          <w:t>1</w:t>
        </w:r>
        <w:r>
          <w:rPr>
            <w:rStyle w:val="Hyperlink"/>
            <w:sz w:val="30"/>
            <w:szCs w:val="28"/>
            <w:rtl w:val="true"/>
          </w:rPr>
          <w:t>)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</w:t>
      </w:r>
      <w:hyperlink r:id="rId30">
        <w:r>
          <w:rPr>
            <w:rStyle w:val="Hyperlink"/>
            <w:color w:val="0000FF"/>
            <w:sz w:val="30"/>
            <w:szCs w:val="28"/>
            <w:u w:val="single"/>
            <w:rtl w:val="true"/>
          </w:rPr>
          <w:t>-(</w:t>
        </w:r>
        <w:r>
          <w:rPr>
            <w:rStyle w:val="Hyperlink"/>
            <w:color w:val="0000FF"/>
            <w:sz w:val="30"/>
            <w:szCs w:val="28"/>
            <w:u w:val="single"/>
          </w:rPr>
          <w:t>2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>),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31">
        <w:r>
          <w:rPr>
            <w:rStyle w:val="Hyperlink"/>
            <w:sz w:val="30"/>
            <w:szCs w:val="28"/>
          </w:rPr>
          <w:t>273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לחוק</w:t>
      </w:r>
      <w:r>
        <w:rPr>
          <w:sz w:val="30"/>
          <w:szCs w:val="28"/>
          <w:rtl w:val="true"/>
        </w:rPr>
        <w:t xml:space="preserve">). </w:t>
      </w:r>
    </w:p>
    <w:p>
      <w:pPr>
        <w:pStyle w:val="Normal"/>
        <w:spacing w:lineRule="auto" w:line="480"/>
        <w:ind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צורף</w:t>
      </w:r>
      <w:r>
        <w:rPr>
          <w:rtl w:val="true"/>
        </w:rPr>
        <w:t xml:space="preserve">,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897/04</w:t>
        </w:r>
      </w:hyperlink>
      <w:r>
        <w:rPr>
          <w:rtl w:val="true"/>
        </w:rPr>
        <w:t xml:space="preserve">),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12.1.04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16.30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13.10.04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מהודאותיהם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שסניגוריהם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, </w:t>
      </w:r>
      <w:r>
        <w:rPr>
          <w:rtl w:val="true"/>
        </w:rPr>
        <w:t>כשבמסגרת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...)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932/05</w:t>
        </w:r>
      </w:hyperlink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932/05</w:t>
        </w:r>
      </w:hyperlink>
      <w:r>
        <w:rPr>
          <w:rtl w:val="true"/>
        </w:rPr>
        <w:t xml:space="preserve">,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שידלובסקי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 xml:space="preserve">).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403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בוזגלו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27.3.05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-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28.3.05</w:t>
      </w:r>
      <w:r>
        <w:rPr>
          <w:rtl w:val="true"/>
        </w:rPr>
        <w:t>).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932/05</w:t>
        </w:r>
      </w:hyperlink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tl w:val="true"/>
        </w:rPr>
        <w:t xml:space="preserve">, </w:t>
      </w:r>
      <w:r>
        <w:rPr>
          <w:rtl w:val="true"/>
        </w:rPr>
        <w:t>כשאנשים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הרסן</w:t>
      </w:r>
      <w:r>
        <w:rPr>
          <w:rtl w:val="true"/>
        </w:rPr>
        <w:t xml:space="preserve">, </w:t>
      </w:r>
      <w:r>
        <w:rPr>
          <w:rtl w:val="true"/>
        </w:rPr>
        <w:t>התעוזה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932/05</w:t>
        </w:r>
      </w:hyperlink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),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מששוחררו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ובהליכים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חיתיתם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הקרבנות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מצידם</w:t>
      </w:r>
      <w:r>
        <w:rPr>
          <w:rtl w:val="true"/>
        </w:rPr>
        <w:t xml:space="preserve">, </w:t>
      </w:r>
      <w:r>
        <w:rPr>
          <w:rtl w:val="true"/>
        </w:rPr>
        <w:t>ושמורא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ההפנמה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מביניהם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932/05</w:t>
        </w:r>
      </w:hyperlink>
      <w:r>
        <w:rPr>
          <w:rtl w:val="true"/>
        </w:rPr>
        <w:t xml:space="preserve">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>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מרשיהם</w:t>
      </w:r>
      <w:r>
        <w:rPr>
          <w:rtl w:val="true"/>
        </w:rPr>
        <w:t xml:space="preserve">, </w:t>
      </w:r>
      <w:r>
        <w:rPr>
          <w:rtl w:val="true"/>
        </w:rPr>
        <w:t>בהפנותם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tl w:val="true"/>
        </w:rPr>
        <w:t xml:space="preserve">,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הוריהם</w:t>
      </w:r>
      <w:r>
        <w:rPr>
          <w:rtl w:val="true"/>
        </w:rPr>
        <w:t xml:space="preserve">, </w:t>
      </w:r>
      <w:r>
        <w:rPr>
          <w:rtl w:val="true"/>
        </w:rPr>
        <w:t>שתנאי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tl w:val="true"/>
        </w:rPr>
        <w:t>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 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לדידם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BodyTextIndent"/>
        <w:ind w:hanging="720" w:end="0"/>
        <w:jc w:val="both"/>
        <w:rPr/>
      </w:pPr>
      <w:r>
        <w:rPr/>
        <w:t>7</w:t>
      </w:r>
      <w:r>
        <w:rPr>
          <w:rtl w:val="true"/>
        </w:rPr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 xml:space="preserve">, </w:t>
      </w:r>
      <w:r>
        <w:rPr>
          <w:rtl w:val="true"/>
        </w:rPr>
        <w:t>שהמשותף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tl w:val="true"/>
        </w:rPr>
        <w:t xml:space="preserve">, </w:t>
      </w:r>
      <w:r>
        <w:rPr>
          <w:rtl w:val="true"/>
        </w:rPr>
        <w:t>כשאין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 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>).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>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4920/01</w:t>
        </w:r>
      </w:hyperlink>
      <w:r>
        <w:rPr>
          <w:rtl w:val="true"/>
        </w:rPr>
        <w:t xml:space="preserve">, </w:t>
      </w:r>
      <w:r>
        <w:rPr/>
        <w:t>4956/01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3">
        <w:r>
          <w:rPr>
            <w:rStyle w:val="Hyperlink"/>
            <w:color w:val="0000FF"/>
            <w:u w:val="single"/>
          </w:rPr>
          <w:t>4890/01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דינים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, </w:t>
      </w:r>
      <w:r>
        <w:rPr>
          <w:rtl w:val="true"/>
        </w:rPr>
        <w:t>כרך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/>
        <w:t>416</w:t>
      </w:r>
      <w:r>
        <w:rPr>
          <w:rtl w:val="true"/>
        </w:rPr>
        <w:t>: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Style11"/>
        <w:spacing w:lineRule="auto" w:line="240"/>
        <w:ind w:start="1440" w:end="567"/>
        <w:jc w:val="both"/>
        <w:rPr>
          <w:sz w:val="28"/>
        </w:rPr>
      </w:pPr>
      <w:r>
        <w:rPr>
          <w:rFonts w:eastAsia="Guttman Kav-Light" w:cs="Guttman Kav-Light" w:ascii="Guttman Kav-Light" w:hAnsi="Guttman Kav-Light"/>
          <w:sz w:val="28"/>
          <w:rtl w:val="true"/>
        </w:rPr>
        <w:t>”</w:t>
      </w:r>
      <w:r>
        <w:rPr>
          <w:rFonts w:cs="Guttman Kav-Light"/>
          <w:sz w:val="28"/>
          <w:sz w:val="28"/>
          <w:rtl w:val="true"/>
        </w:rPr>
        <w:t>מקום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חשוב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נודע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לשיקולי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שיקומם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עבריינים</w:t>
      </w:r>
      <w:r>
        <w:rPr>
          <w:rFonts w:cs="Guttman Kav-Light"/>
          <w:sz w:val="28"/>
          <w:rtl w:val="true"/>
        </w:rPr>
        <w:t xml:space="preserve">, </w:t>
      </w:r>
      <w:r>
        <w:rPr>
          <w:rFonts w:cs="Guttman Kav-Light"/>
          <w:sz w:val="28"/>
          <w:sz w:val="28"/>
          <w:rtl w:val="true"/>
        </w:rPr>
        <w:t>ביחוד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כאשר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בקטינים</w:t>
      </w:r>
      <w:r>
        <w:rPr>
          <w:rFonts w:cs="Guttman Kav-Light"/>
          <w:sz w:val="28"/>
          <w:rtl w:val="true"/>
        </w:rPr>
        <w:t xml:space="preserve">, </w:t>
      </w:r>
      <w:r>
        <w:rPr>
          <w:rFonts w:cs="Guttman Kav-Light"/>
          <w:sz w:val="28"/>
          <w:sz w:val="28"/>
          <w:rtl w:val="true"/>
        </w:rPr>
        <w:t>אולם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שמשקלם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רב</w:t>
      </w:r>
      <w:r>
        <w:rPr>
          <w:rFonts w:cs="Guttman Kav-Light"/>
          <w:sz w:val="28"/>
          <w:rtl w:val="true"/>
        </w:rPr>
        <w:t xml:space="preserve">, </w:t>
      </w:r>
      <w:r>
        <w:rPr>
          <w:rFonts w:cs="Guttman Kav-Light"/>
          <w:sz w:val="28"/>
          <w:sz w:val="28"/>
          <w:rtl w:val="true"/>
        </w:rPr>
        <w:t>הרי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חלק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ממכלול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ביה</w:t>
      </w:r>
      <w:r>
        <w:rPr>
          <w:rFonts w:cs="Guttman Kav-Light"/>
          <w:sz w:val="28"/>
          <w:rtl w:val="true"/>
        </w:rPr>
        <w:t>"</w:t>
      </w:r>
      <w:r>
        <w:rPr>
          <w:rFonts w:cs="Guttman Kav-Light"/>
          <w:sz w:val="28"/>
          <w:sz w:val="28"/>
          <w:rtl w:val="true"/>
        </w:rPr>
        <w:t>מ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לשקול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בבואו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לגזור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דינו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נאשם</w:t>
      </w:r>
      <w:r>
        <w:rPr>
          <w:rFonts w:cs="Guttman Kav-Light"/>
          <w:sz w:val="28"/>
          <w:rtl w:val="true"/>
        </w:rPr>
        <w:t xml:space="preserve">... </w:t>
      </w:r>
      <w:r>
        <w:rPr>
          <w:rFonts w:cs="Guttman Kav-Light"/>
          <w:sz w:val="28"/>
          <w:sz w:val="28"/>
          <w:rtl w:val="true"/>
        </w:rPr>
        <w:t>מטרת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איננה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נקמה</w:t>
      </w:r>
      <w:r>
        <w:rPr>
          <w:rFonts w:cs="Guttman Kav-Light"/>
          <w:sz w:val="28"/>
          <w:rtl w:val="true"/>
        </w:rPr>
        <w:t xml:space="preserve">, </w:t>
      </w:r>
      <w:r>
        <w:rPr>
          <w:rFonts w:cs="Guttman Kav-Light"/>
          <w:sz w:val="28"/>
          <w:sz w:val="28"/>
          <w:rtl w:val="true"/>
        </w:rPr>
        <w:t>אך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ממטרות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הענישה</w:t>
      </w:r>
      <w:r>
        <w:rPr>
          <w:rFonts w:cs="Guttman Kav-Light"/>
          <w:sz w:val="28"/>
          <w:rtl w:val="true"/>
        </w:rPr>
        <w:t xml:space="preserve">, </w:t>
      </w:r>
      <w:r>
        <w:rPr>
          <w:rFonts w:cs="Guttman Kav-Light"/>
          <w:sz w:val="28"/>
          <w:sz w:val="28"/>
          <w:rtl w:val="true"/>
        </w:rPr>
        <w:t>גם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העיקרית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שבהן</w:t>
      </w:r>
      <w:r>
        <w:rPr>
          <w:rFonts w:cs="Guttman Kav-Light"/>
          <w:sz w:val="28"/>
          <w:rtl w:val="true"/>
        </w:rPr>
        <w:t xml:space="preserve">, </w:t>
      </w:r>
      <w:r>
        <w:rPr>
          <w:rFonts w:cs="Guttman Kav-Light"/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לתת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ביטוי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להרגשה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הקולקטיבית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סלידה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כלפי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מעשים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מסויימים</w:t>
      </w:r>
      <w:r>
        <w:rPr>
          <w:rFonts w:cs="Guttman Kav-Light"/>
          <w:sz w:val="28"/>
          <w:rtl w:val="true"/>
        </w:rPr>
        <w:t xml:space="preserve">, </w:t>
      </w:r>
      <w:r>
        <w:rPr>
          <w:rFonts w:cs="Guttman Kav-Light"/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במקרים</w:t>
      </w:r>
      <w:r>
        <w:rPr>
          <w:rFonts w:cs="Times New Roman"/>
          <w:sz w:val="28"/>
          <w:sz w:val="28"/>
          <w:rtl w:val="true"/>
        </w:rPr>
        <w:t xml:space="preserve">  </w:t>
      </w:r>
      <w:r>
        <w:rPr>
          <w:rFonts w:cs="Guttman Kav-Light"/>
          <w:sz w:val="28"/>
          <w:sz w:val="28"/>
          <w:rtl w:val="true"/>
        </w:rPr>
        <w:t>שבהם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נשקפת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עוד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סכנה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מהנאשם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לציבור</w:t>
      </w:r>
      <w:r>
        <w:rPr>
          <w:rFonts w:cs="Guttman Kav-Light"/>
          <w:sz w:val="28"/>
          <w:rtl w:val="true"/>
        </w:rPr>
        <w:t xml:space="preserve">... </w:t>
      </w:r>
      <w:r>
        <w:rPr>
          <w:rFonts w:cs="Guttman Kav-Light"/>
          <w:sz w:val="28"/>
          <w:sz w:val="28"/>
          <w:rtl w:val="true"/>
        </w:rPr>
        <w:t>לדברים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אלו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להוסיף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שיקול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חשוב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שיקולי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השיקול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הרתעה</w:t>
      </w:r>
      <w:r>
        <w:rPr>
          <w:rFonts w:cs="Guttman Kav-Light"/>
          <w:sz w:val="28"/>
          <w:rtl w:val="true"/>
        </w:rPr>
        <w:t xml:space="preserve">, </w:t>
      </w:r>
      <w:r>
        <w:rPr>
          <w:rFonts w:cs="Guttman Kav-Light"/>
          <w:sz w:val="28"/>
          <w:sz w:val="28"/>
          <w:rtl w:val="true"/>
        </w:rPr>
        <w:t>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הרתעה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אישית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העבריין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הנדון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והן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הרתעתם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עבריינים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Guttman Kav-Light"/>
          <w:sz w:val="28"/>
          <w:sz w:val="28"/>
          <w:rtl w:val="true"/>
        </w:rPr>
        <w:t>בכוח</w:t>
      </w:r>
      <w:r>
        <w:rPr>
          <w:rFonts w:cs="Guttman Kav-Light"/>
          <w:sz w:val="28"/>
          <w:rtl w:val="true"/>
        </w:rPr>
        <w:t xml:space="preserve">...". </w:t>
      </w:r>
    </w:p>
    <w:p>
      <w:pPr>
        <w:pStyle w:val="BodyTextIndent"/>
        <w:ind w:hanging="720" w:end="0"/>
        <w:jc w:val="both"/>
        <w:rPr>
          <w:rFonts w:cs="Guttman Kav-Light"/>
          <w:sz w:val="28"/>
        </w:rPr>
      </w:pPr>
      <w:r>
        <w:rPr>
          <w:rFonts w:cs="Guttman Kav-Light"/>
          <w:sz w:val="28"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כשהרחיקו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עקלקלים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ומופרכים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>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 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) (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וראשונה</w:t>
      </w:r>
      <w:r>
        <w:rPr>
          <w:rtl w:val="true"/>
        </w:rPr>
        <w:t>, ... 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)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 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) 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932/05</w:t>
        </w:r>
      </w:hyperlink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Guttman Kav-Light"/>
          <w:rtl w:val="true"/>
        </w:rPr>
        <w:t>"</w:t>
      </w:r>
      <w:r>
        <w:rPr>
          <w:rFonts w:cs="Guttman Kav-Light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Guttman Kav-Light"/>
          <w:rtl w:val="true"/>
        </w:rPr>
        <w:t>התלבטות</w:t>
      </w:r>
      <w:r>
        <w:rPr>
          <w:rFonts w:cs="Guttman Kav-Light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והעיקר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)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)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>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rtl w:val="true"/>
          </w:rPr>
          <w:t>המ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464/65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עוזר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היועץ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המשפטי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לממשלה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41</w:t>
      </w:r>
      <w:r>
        <w:rPr>
          <w:rtl w:val="true"/>
        </w:rPr>
        <w:t>):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Style11"/>
        <w:spacing w:lineRule="auto" w:line="240"/>
        <w:ind w:start="1440" w:end="567"/>
        <w:jc w:val="both"/>
        <w:rPr/>
      </w:pPr>
      <w:r>
        <w:rPr>
          <w:rFonts w:cs="Guttman Kav-Light"/>
          <w:sz w:val="30"/>
          <w:rtl w:val="true"/>
        </w:rPr>
        <w:t>"</w:t>
      </w:r>
      <w:r>
        <w:rPr>
          <w:rFonts w:cs="Guttman Kav-Light"/>
          <w:sz w:val="30"/>
          <w:sz w:val="30"/>
          <w:rtl w:val="true"/>
        </w:rPr>
        <w:t>העקרון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הטמון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בהוראה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זו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rtl w:val="true"/>
        </w:rPr>
        <w:t>[</w:t>
      </w:r>
      <w:r>
        <w:rPr>
          <w:sz w:val="30"/>
          <w:sz w:val="30"/>
          <w:rtl w:val="true"/>
        </w:rPr>
        <w:t>הוראת</w:t>
      </w:r>
      <w:r>
        <w:rPr>
          <w:rFonts w:cs="Times New Roman"/>
          <w:sz w:val="30"/>
          <w:sz w:val="30"/>
          <w:rtl w:val="true"/>
        </w:rPr>
        <w:t xml:space="preserve"> </w:t>
      </w:r>
      <w:hyperlink r:id="rId46">
        <w:r>
          <w:rPr>
            <w:rStyle w:val="Hyperlink"/>
            <w:sz w:val="30"/>
            <w:sz w:val="30"/>
            <w:rtl w:val="true"/>
          </w:rPr>
          <w:t>סעיף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</w:rPr>
          <w:t>12</w:t>
        </w:r>
      </w:hyperlink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ל</w:t>
      </w:r>
      <w:hyperlink r:id="rId47">
        <w:r>
          <w:rPr>
            <w:rStyle w:val="Hyperlink"/>
            <w:sz w:val="30"/>
            <w:sz w:val="30"/>
            <w:rtl w:val="true"/>
          </w:rPr>
          <w:t>חוק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לתיקון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דיני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העונשין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rtl w:val="true"/>
          </w:rPr>
          <w:t>(</w:t>
        </w:r>
        <w:r>
          <w:rPr>
            <w:rStyle w:val="Hyperlink"/>
            <w:sz w:val="30"/>
            <w:sz w:val="30"/>
            <w:rtl w:val="true"/>
          </w:rPr>
          <w:t>דרכי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  <w:sz w:val="30"/>
            <w:rtl w:val="true"/>
          </w:rPr>
          <w:t>ענישה</w:t>
        </w:r>
        <w:r>
          <w:rPr>
            <w:rStyle w:val="Hyperlink"/>
            <w:sz w:val="30"/>
            <w:rtl w:val="true"/>
          </w:rPr>
          <w:t xml:space="preserve">), </w:t>
        </w:r>
        <w:r>
          <w:rPr>
            <w:rStyle w:val="Hyperlink"/>
            <w:sz w:val="30"/>
            <w:sz w:val="30"/>
            <w:rtl w:val="true"/>
          </w:rPr>
          <w:t>תשי</w:t>
        </w:r>
        <w:r>
          <w:rPr>
            <w:rStyle w:val="Hyperlink"/>
            <w:sz w:val="30"/>
            <w:rtl w:val="true"/>
          </w:rPr>
          <w:t>"</w:t>
        </w:r>
        <w:r>
          <w:rPr>
            <w:rStyle w:val="Hyperlink"/>
            <w:sz w:val="30"/>
            <w:sz w:val="30"/>
            <w:rtl w:val="true"/>
          </w:rPr>
          <w:t>ד</w:t>
        </w:r>
        <w:r>
          <w:rPr>
            <w:rStyle w:val="Hyperlink"/>
            <w:sz w:val="30"/>
            <w:rtl w:val="true"/>
          </w:rPr>
          <w:t>-</w:t>
        </w:r>
        <w:r>
          <w:rPr>
            <w:rStyle w:val="Hyperlink"/>
            <w:sz w:val="30"/>
          </w:rPr>
          <w:t>1954</w:t>
        </w:r>
      </w:hyperlink>
      <w:r>
        <w:rPr>
          <w:sz w:val="30"/>
          <w:rtl w:val="true"/>
        </w:rPr>
        <w:t xml:space="preserve">, </w:t>
      </w:r>
      <w:r>
        <w:rPr>
          <w:sz w:val="30"/>
          <w:sz w:val="30"/>
          <w:rtl w:val="true"/>
        </w:rPr>
        <w:t>שלשונו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rtl w:val="true"/>
        </w:rPr>
        <w:t>"</w:t>
      </w:r>
      <w:r>
        <w:rPr>
          <w:rFonts w:cs="Guttman Kav-Light"/>
          <w:sz w:val="30"/>
          <w:sz w:val="30"/>
          <w:rtl w:val="true"/>
        </w:rPr>
        <w:t>מי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שנידון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למאסר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תיחשב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תקופת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מאסרו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מיום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גזר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הדין</w:t>
      </w:r>
      <w:r>
        <w:rPr>
          <w:rFonts w:cs="Guttman Kav-Light"/>
          <w:sz w:val="30"/>
          <w:rtl w:val="true"/>
        </w:rPr>
        <w:t xml:space="preserve">, </w:t>
      </w:r>
      <w:r>
        <w:rPr>
          <w:rFonts w:cs="Guttman Kav-Light"/>
          <w:sz w:val="30"/>
          <w:sz w:val="30"/>
          <w:rtl w:val="true"/>
        </w:rPr>
        <w:t>אם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לא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הורה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בית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המשפט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הוראה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אחרת</w:t>
      </w:r>
      <w:r>
        <w:rPr>
          <w:rFonts w:cs="Guttman Kav-Light"/>
          <w:sz w:val="30"/>
          <w:rtl w:val="true"/>
        </w:rPr>
        <w:t xml:space="preserve">..."] </w:t>
      </w:r>
      <w:r>
        <w:rPr>
          <w:rFonts w:cs="Guttman Kav-Light"/>
          <w:sz w:val="30"/>
          <w:sz w:val="30"/>
          <w:rtl w:val="true"/>
        </w:rPr>
        <w:t>הוא</w:t>
      </w:r>
      <w:r>
        <w:rPr>
          <w:rFonts w:cs="Guttman Kav-Light"/>
          <w:sz w:val="30"/>
          <w:rtl w:val="true"/>
        </w:rPr>
        <w:t xml:space="preserve">, </w:t>
      </w:r>
      <w:r>
        <w:rPr>
          <w:rFonts w:cs="Guttman Kav-Light"/>
          <w:sz w:val="30"/>
          <w:sz w:val="30"/>
          <w:rtl w:val="true"/>
        </w:rPr>
        <w:t>כי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תקופת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המאסר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שנגזרה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על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ידי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בית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המשפט</w:t>
      </w:r>
      <w:r>
        <w:rPr>
          <w:rFonts w:cs="Guttman Kav-Light"/>
          <w:sz w:val="30"/>
          <w:rtl w:val="true"/>
        </w:rPr>
        <w:t xml:space="preserve">, </w:t>
      </w:r>
      <w:r>
        <w:rPr>
          <w:rFonts w:cs="Guttman Kav-Light"/>
          <w:sz w:val="30"/>
          <w:sz w:val="30"/>
          <w:rtl w:val="true"/>
        </w:rPr>
        <w:t>מחושבת</w:t>
      </w:r>
      <w:r>
        <w:rPr>
          <w:rFonts w:cs="Guttman Kav-Light"/>
          <w:sz w:val="30"/>
          <w:rtl w:val="true"/>
        </w:rPr>
        <w:t xml:space="preserve">, </w:t>
      </w:r>
      <w:r>
        <w:rPr>
          <w:rFonts w:cs="Guttman Kav-Light"/>
          <w:sz w:val="30"/>
          <w:sz w:val="30"/>
          <w:rtl w:val="true"/>
        </w:rPr>
        <w:t>בדרך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כלל</w:t>
      </w:r>
      <w:r>
        <w:rPr>
          <w:rFonts w:cs="Guttman Kav-Light"/>
          <w:sz w:val="30"/>
          <w:rtl w:val="true"/>
        </w:rPr>
        <w:t xml:space="preserve">, </w:t>
      </w:r>
      <w:r>
        <w:rPr>
          <w:rFonts w:cs="Guttman Kav-Light"/>
          <w:sz w:val="30"/>
          <w:sz w:val="30"/>
          <w:rtl w:val="true"/>
        </w:rPr>
        <w:t>מיום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גזר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הדין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אלא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שלבית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המשפט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יש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שיקול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דעת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להורות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שתקופה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זו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תתחיל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מיום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מעצרו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של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הנידון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או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שבחישוב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תקופת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המאסר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ינוכו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הימים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שבהם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היה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עצור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לפני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מתן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גזר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הדין</w:t>
      </w:r>
      <w:r>
        <w:rPr>
          <w:rFonts w:cs="Guttman Kav-Light"/>
          <w:sz w:val="30"/>
          <w:rtl w:val="true"/>
        </w:rPr>
        <w:t xml:space="preserve">. </w:t>
      </w:r>
      <w:r>
        <w:rPr>
          <w:rFonts w:cs="Guttman Kav-Light"/>
          <w:sz w:val="30"/>
          <w:sz w:val="30"/>
          <w:rtl w:val="true"/>
        </w:rPr>
        <w:t>ברור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כי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bCs/>
          <w:sz w:val="30"/>
          <w:sz w:val="30"/>
          <w:rtl w:val="true"/>
        </w:rPr>
        <w:t>בתתו</w:t>
      </w:r>
      <w:r>
        <w:rPr>
          <w:rFonts w:cs="Times New Roman"/>
          <w:bCs/>
          <w:sz w:val="30"/>
          <w:sz w:val="30"/>
          <w:rtl w:val="true"/>
        </w:rPr>
        <w:t xml:space="preserve"> </w:t>
      </w:r>
      <w:r>
        <w:rPr>
          <w:rFonts w:cs="Guttman Kav-Light"/>
          <w:bCs/>
          <w:sz w:val="30"/>
          <w:sz w:val="30"/>
          <w:rtl w:val="true"/>
        </w:rPr>
        <w:t>הוראה</w:t>
      </w:r>
      <w:r>
        <w:rPr>
          <w:rFonts w:cs="Times New Roman"/>
          <w:bCs/>
          <w:sz w:val="30"/>
          <w:sz w:val="30"/>
          <w:rtl w:val="true"/>
        </w:rPr>
        <w:t xml:space="preserve"> </w:t>
      </w:r>
      <w:r>
        <w:rPr>
          <w:rFonts w:cs="Guttman Kav-Light"/>
          <w:bCs/>
          <w:sz w:val="30"/>
          <w:sz w:val="30"/>
          <w:rtl w:val="true"/>
        </w:rPr>
        <w:t>כזאת</w:t>
      </w:r>
      <w:r>
        <w:rPr>
          <w:rFonts w:cs="Guttman Kav-Light"/>
          <w:bCs/>
          <w:sz w:val="30"/>
          <w:rtl w:val="true"/>
        </w:rPr>
        <w:t xml:space="preserve">, </w:t>
      </w:r>
      <w:r>
        <w:rPr>
          <w:rFonts w:cs="Guttman Kav-Light"/>
          <w:bCs/>
          <w:sz w:val="30"/>
          <w:sz w:val="30"/>
          <w:rtl w:val="true"/>
        </w:rPr>
        <w:t>מתחשב</w:t>
      </w:r>
      <w:r>
        <w:rPr>
          <w:rFonts w:cs="Times New Roman"/>
          <w:bCs/>
          <w:sz w:val="30"/>
          <w:sz w:val="30"/>
          <w:rtl w:val="true"/>
        </w:rPr>
        <w:t xml:space="preserve"> </w:t>
      </w:r>
      <w:r>
        <w:rPr>
          <w:rFonts w:cs="Guttman Kav-Light"/>
          <w:bCs/>
          <w:sz w:val="30"/>
          <w:sz w:val="30"/>
          <w:rtl w:val="true"/>
        </w:rPr>
        <w:t>בית</w:t>
      </w:r>
      <w:r>
        <w:rPr>
          <w:rFonts w:cs="Times New Roman"/>
          <w:bCs/>
          <w:sz w:val="30"/>
          <w:sz w:val="30"/>
          <w:rtl w:val="true"/>
        </w:rPr>
        <w:t xml:space="preserve"> </w:t>
      </w:r>
      <w:r>
        <w:rPr>
          <w:rFonts w:cs="Guttman Kav-Light"/>
          <w:bCs/>
          <w:sz w:val="30"/>
          <w:sz w:val="30"/>
          <w:rtl w:val="true"/>
        </w:rPr>
        <w:t>המשפט</w:t>
      </w:r>
      <w:r>
        <w:rPr>
          <w:rFonts w:cs="Times New Roman"/>
          <w:bCs/>
          <w:sz w:val="30"/>
          <w:sz w:val="30"/>
          <w:rtl w:val="true"/>
        </w:rPr>
        <w:t xml:space="preserve"> </w:t>
      </w:r>
      <w:r>
        <w:rPr>
          <w:rFonts w:cs="Guttman Kav-Light"/>
          <w:bCs/>
          <w:sz w:val="30"/>
          <w:sz w:val="30"/>
          <w:rtl w:val="true"/>
        </w:rPr>
        <w:t>בעובדה</w:t>
      </w:r>
      <w:r>
        <w:rPr>
          <w:rFonts w:cs="Guttman Kav-Light"/>
          <w:bCs/>
          <w:sz w:val="30"/>
          <w:rtl w:val="true"/>
        </w:rPr>
        <w:t xml:space="preserve">, </w:t>
      </w:r>
      <w:r>
        <w:rPr>
          <w:rFonts w:cs="Guttman Kav-Light"/>
          <w:bCs/>
          <w:sz w:val="30"/>
          <w:sz w:val="30"/>
          <w:rtl w:val="true"/>
        </w:rPr>
        <w:t>שהנידון</w:t>
      </w:r>
      <w:r>
        <w:rPr>
          <w:rFonts w:cs="Times New Roman"/>
          <w:bCs/>
          <w:sz w:val="30"/>
          <w:sz w:val="30"/>
          <w:rtl w:val="true"/>
        </w:rPr>
        <w:t xml:space="preserve"> </w:t>
      </w:r>
      <w:r>
        <w:rPr>
          <w:rFonts w:cs="Guttman Kav-Light"/>
          <w:bCs/>
          <w:sz w:val="30"/>
          <w:sz w:val="30"/>
          <w:rtl w:val="true"/>
        </w:rPr>
        <w:t>היה</w:t>
      </w:r>
      <w:r>
        <w:rPr>
          <w:rFonts w:cs="Times New Roman"/>
          <w:bCs/>
          <w:sz w:val="30"/>
          <w:sz w:val="30"/>
          <w:rtl w:val="true"/>
        </w:rPr>
        <w:t xml:space="preserve"> </w:t>
      </w:r>
      <w:r>
        <w:rPr>
          <w:rFonts w:cs="Guttman Kav-Light"/>
          <w:bCs/>
          <w:sz w:val="30"/>
          <w:sz w:val="30"/>
          <w:rtl w:val="true"/>
        </w:rPr>
        <w:t>עצור</w:t>
      </w:r>
      <w:r>
        <w:rPr>
          <w:rFonts w:cs="Times New Roman"/>
          <w:bCs/>
          <w:sz w:val="30"/>
          <w:sz w:val="30"/>
          <w:rtl w:val="true"/>
        </w:rPr>
        <w:t xml:space="preserve"> </w:t>
      </w:r>
      <w:r>
        <w:rPr>
          <w:rFonts w:cs="Guttman Kav-Light"/>
          <w:bCs/>
          <w:sz w:val="30"/>
          <w:sz w:val="30"/>
          <w:rtl w:val="true"/>
        </w:rPr>
        <w:t>לפני</w:t>
      </w:r>
      <w:r>
        <w:rPr>
          <w:rFonts w:cs="Times New Roman"/>
          <w:bCs/>
          <w:sz w:val="30"/>
          <w:sz w:val="30"/>
          <w:rtl w:val="true"/>
        </w:rPr>
        <w:t xml:space="preserve"> </w:t>
      </w:r>
      <w:r>
        <w:rPr>
          <w:rFonts w:cs="Guttman Kav-Light"/>
          <w:bCs/>
          <w:sz w:val="30"/>
          <w:sz w:val="30"/>
          <w:rtl w:val="true"/>
        </w:rPr>
        <w:t>מתן</w:t>
      </w:r>
      <w:r>
        <w:rPr>
          <w:rFonts w:cs="Times New Roman"/>
          <w:bCs/>
          <w:sz w:val="30"/>
          <w:sz w:val="30"/>
          <w:rtl w:val="true"/>
        </w:rPr>
        <w:t xml:space="preserve"> </w:t>
      </w:r>
      <w:r>
        <w:rPr>
          <w:rFonts w:cs="Guttman Kav-Light"/>
          <w:bCs/>
          <w:sz w:val="30"/>
          <w:sz w:val="30"/>
          <w:rtl w:val="true"/>
        </w:rPr>
        <w:t>גזר</w:t>
      </w:r>
      <w:r>
        <w:rPr>
          <w:rFonts w:cs="Times New Roman"/>
          <w:bCs/>
          <w:sz w:val="30"/>
          <w:sz w:val="30"/>
          <w:rtl w:val="true"/>
        </w:rPr>
        <w:t xml:space="preserve"> </w:t>
      </w:r>
      <w:r>
        <w:rPr>
          <w:rFonts w:cs="Guttman Kav-Light"/>
          <w:bCs/>
          <w:sz w:val="30"/>
          <w:sz w:val="30"/>
          <w:rtl w:val="true"/>
        </w:rPr>
        <w:t>הדין</w:t>
      </w:r>
      <w:r>
        <w:rPr>
          <w:rFonts w:cs="Guttman Kav-Light"/>
          <w:bCs/>
          <w:sz w:val="30"/>
          <w:rtl w:val="true"/>
        </w:rPr>
        <w:t xml:space="preserve">, </w:t>
      </w:r>
      <w:r>
        <w:rPr>
          <w:rFonts w:cs="Guttman Kav-Light"/>
          <w:bCs/>
          <w:sz w:val="30"/>
          <w:sz w:val="30"/>
          <w:rtl w:val="true"/>
        </w:rPr>
        <w:t>כנסיבה</w:t>
      </w:r>
      <w:r>
        <w:rPr>
          <w:rFonts w:cs="Times New Roman"/>
          <w:bCs/>
          <w:sz w:val="30"/>
          <w:sz w:val="30"/>
          <w:rtl w:val="true"/>
        </w:rPr>
        <w:t xml:space="preserve"> </w:t>
      </w:r>
      <w:r>
        <w:rPr>
          <w:rFonts w:cs="Guttman Kav-Light"/>
          <w:bCs/>
          <w:sz w:val="30"/>
          <w:sz w:val="30"/>
          <w:rtl w:val="true"/>
        </w:rPr>
        <w:t>מקילה</w:t>
      </w:r>
      <w:r>
        <w:rPr>
          <w:rFonts w:cs="Guttman Kav-Light"/>
          <w:sz w:val="30"/>
          <w:rtl w:val="true"/>
        </w:rPr>
        <w:t xml:space="preserve">; </w:t>
      </w:r>
      <w:r>
        <w:rPr>
          <w:rFonts w:cs="Guttman Kav-Light"/>
          <w:sz w:val="30"/>
          <w:sz w:val="30"/>
          <w:rtl w:val="true"/>
        </w:rPr>
        <w:t>שהרי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השיקול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של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בית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המשפט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במקרה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כזה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הוא</w:t>
      </w:r>
      <w:r>
        <w:rPr>
          <w:rFonts w:cs="Guttman Kav-Light"/>
          <w:sz w:val="30"/>
          <w:rtl w:val="true"/>
        </w:rPr>
        <w:t xml:space="preserve">, </w:t>
      </w:r>
      <w:r>
        <w:rPr>
          <w:rFonts w:cs="Guttman Kav-Light"/>
          <w:sz w:val="30"/>
          <w:sz w:val="30"/>
          <w:rtl w:val="true"/>
        </w:rPr>
        <w:t>כי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העובדה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שהנידון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היה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נתון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במעצר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גם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לפני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מתן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גזר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הדין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איננה</w:t>
      </w:r>
      <w:r>
        <w:rPr>
          <w:rFonts w:cs="Guttman Kav-Light"/>
          <w:sz w:val="30"/>
          <w:rtl w:val="true"/>
        </w:rPr>
        <w:t xml:space="preserve">, </w:t>
      </w:r>
      <w:r>
        <w:rPr>
          <w:rFonts w:cs="Guttman Kav-Light"/>
          <w:sz w:val="30"/>
          <w:sz w:val="30"/>
          <w:rtl w:val="true"/>
        </w:rPr>
        <w:t>מבחינה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משפטית</w:t>
      </w:r>
      <w:r>
        <w:rPr>
          <w:rFonts w:cs="Guttman Kav-Light"/>
          <w:sz w:val="30"/>
          <w:rtl w:val="true"/>
        </w:rPr>
        <w:t xml:space="preserve">, </w:t>
      </w:r>
      <w:r>
        <w:rPr>
          <w:rFonts w:cs="Guttman Kav-Light"/>
          <w:sz w:val="30"/>
          <w:sz w:val="30"/>
          <w:rtl w:val="true"/>
        </w:rPr>
        <w:t>בכלל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sz w:val="30"/>
          <w:sz w:val="30"/>
          <w:rtl w:val="true"/>
        </w:rPr>
        <w:t>עונש</w:t>
      </w:r>
      <w:r>
        <w:rPr>
          <w:rFonts w:cs="Guttman Kav-Light"/>
          <w:sz w:val="30"/>
          <w:rtl w:val="true"/>
        </w:rPr>
        <w:t xml:space="preserve">; </w:t>
      </w:r>
      <w:r>
        <w:rPr>
          <w:rFonts w:cs="Guttman Kav-Light"/>
          <w:sz w:val="30"/>
          <w:sz w:val="30"/>
          <w:rtl w:val="true"/>
        </w:rPr>
        <w:t>אלא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שכיון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שדבר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מעצרו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כאמור</w:t>
      </w:r>
      <w:r>
        <w:rPr>
          <w:rFonts w:cs="Guttman Kav-Light"/>
          <w:b/>
          <w:bCs/>
          <w:sz w:val="30"/>
          <w:rtl w:val="true"/>
        </w:rPr>
        <w:t xml:space="preserve">, </w:t>
      </w:r>
      <w:r>
        <w:rPr>
          <w:rFonts w:cs="Guttman Kav-Light"/>
          <w:b/>
          <w:b/>
          <w:bCs/>
          <w:sz w:val="30"/>
          <w:sz w:val="30"/>
          <w:rtl w:val="true"/>
        </w:rPr>
        <w:t>גרם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לו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סבל</w:t>
      </w:r>
      <w:r>
        <w:rPr>
          <w:rFonts w:cs="Guttman Kav-Light"/>
          <w:b/>
          <w:bCs/>
          <w:sz w:val="30"/>
          <w:rtl w:val="true"/>
        </w:rPr>
        <w:t xml:space="preserve">, </w:t>
      </w:r>
      <w:r>
        <w:rPr>
          <w:rFonts w:cs="Guttman Kav-Light"/>
          <w:b/>
          <w:b/>
          <w:bCs/>
          <w:sz w:val="30"/>
          <w:sz w:val="30"/>
          <w:rtl w:val="true"/>
        </w:rPr>
        <w:t>מחייבת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שורת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הצדק</w:t>
      </w:r>
      <w:r>
        <w:rPr>
          <w:rFonts w:cs="Guttman Kav-Light"/>
          <w:b/>
          <w:bCs/>
          <w:sz w:val="30"/>
          <w:rtl w:val="true"/>
        </w:rPr>
        <w:t xml:space="preserve">, </w:t>
      </w:r>
      <w:r>
        <w:rPr>
          <w:rFonts w:cs="Guttman Kav-Light"/>
          <w:b/>
          <w:b/>
          <w:bCs/>
          <w:sz w:val="30"/>
          <w:sz w:val="30"/>
          <w:rtl w:val="true"/>
        </w:rPr>
        <w:t>כי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גורם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זה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יובא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בחשבון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בקביעת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שיעור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עונש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המאסר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שעליו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לרצות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בשל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העבירה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שבה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rFonts w:cs="Guttman Kav-Light"/>
          <w:b/>
          <w:b/>
          <w:bCs/>
          <w:sz w:val="30"/>
          <w:sz w:val="30"/>
          <w:rtl w:val="true"/>
        </w:rPr>
        <w:t>הורשע</w:t>
      </w:r>
      <w:r>
        <w:rPr>
          <w:rFonts w:cs="Guttman Kav-Light"/>
          <w:b/>
          <w:bCs/>
          <w:sz w:val="30"/>
          <w:rtl w:val="true"/>
        </w:rPr>
        <w:t>...".</w:t>
      </w:r>
    </w:p>
    <w:p>
      <w:pPr>
        <w:pStyle w:val="BodyTextIndent"/>
        <w:ind w:hanging="720" w:end="0"/>
        <w:jc w:val="both"/>
        <w:rPr>
          <w:rFonts w:cs="Guttman Kav-Light"/>
          <w:b/>
          <w:bCs/>
          <w:sz w:val="30"/>
        </w:rPr>
      </w:pPr>
      <w:r>
        <w:rPr>
          <w:rFonts w:cs="Guttman Kav-Light"/>
          <w:b/>
          <w:bCs/>
          <w:sz w:val="30"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חופפות</w:t>
      </w:r>
      <w:r>
        <w:rPr>
          <w:rtl w:val="true"/>
        </w:rPr>
        <w:t xml:space="preserve">"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) -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מהוראת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45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ובמשמע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באיזונם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שבוזגלו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דלקמן</w:t>
      </w:r>
      <w:r>
        <w:rPr>
          <w:rtl w:val="true"/>
        </w:rPr>
        <w:t>: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בוזגלו</w:t>
      </w:r>
      <w:r>
        <w:rPr>
          <w:b/>
          <w:bCs/>
          <w:rtl w:val="true"/>
        </w:rPr>
        <w:t>:</w:t>
      </w:r>
    </w:p>
    <w:p>
      <w:pPr>
        <w:pStyle w:val="BodyTextIndent"/>
        <w:ind w:hanging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  <w:tab/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6.10.04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16.11.04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28.3.05</w:t>
      </w:r>
      <w:r>
        <w:rPr>
          <w:rtl w:val="true"/>
        </w:rPr>
        <w:t>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BodyTextIndent"/>
        <w:ind w:hanging="720" w:end="0"/>
        <w:jc w:val="both"/>
        <w:rPr>
          <w:b/>
          <w:bCs/>
        </w:rPr>
      </w:pPr>
      <w:r>
        <w:rPr>
          <w:b/>
          <w:bCs/>
          <w:rtl w:val="true"/>
        </w:rPr>
        <w:tab/>
        <w:t>(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>):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"/>
        <w:ind w:end="0"/>
        <w:jc w:val="both"/>
        <w:rPr/>
      </w:pP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6.10.04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9.11.04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27.3.05</w:t>
      </w:r>
      <w:r>
        <w:rPr>
          <w:rtl w:val="true"/>
        </w:rPr>
        <w:t>.</w:t>
      </w:r>
    </w:p>
    <w:p>
      <w:pPr>
        <w:pStyle w:val="BodyTextIndent"/>
        <w:ind w:hanging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26"/>
          <w:szCs w:val="28"/>
        </w:rPr>
      </w:pPr>
      <w:r>
        <w:rPr>
          <w:b/>
          <w:b/>
          <w:bCs/>
          <w:color w:val="000000"/>
          <w:sz w:val="26"/>
          <w:sz w:val="26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היום</w:t>
      </w:r>
      <w:r>
        <w:rPr>
          <w:b/>
          <w:bCs/>
          <w:color w:val="000000"/>
          <w:sz w:val="26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כ</w:t>
      </w:r>
      <w:r>
        <w:rPr>
          <w:b/>
          <w:bCs/>
          <w:color w:val="000000"/>
          <w:sz w:val="26"/>
          <w:szCs w:val="28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ד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בטבת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תשס</w:t>
      </w:r>
      <w:r>
        <w:rPr>
          <w:b/>
          <w:bCs/>
          <w:color w:val="000000"/>
          <w:sz w:val="26"/>
          <w:szCs w:val="28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ו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  <w:rtl w:val="true"/>
        </w:rPr>
        <w:t>(</w:t>
      </w:r>
      <w:r>
        <w:rPr>
          <w:b/>
          <w:bCs/>
          <w:color w:val="000000"/>
          <w:sz w:val="26"/>
          <w:szCs w:val="28"/>
        </w:rPr>
        <w:t>24</w:t>
      </w:r>
      <w:r>
        <w:rPr>
          <w:b/>
          <w:bCs/>
          <w:color w:val="000000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בינואר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</w:rPr>
        <w:t>2006</w:t>
      </w:r>
      <w:r>
        <w:rPr>
          <w:b/>
          <w:bCs/>
          <w:color w:val="000000"/>
          <w:sz w:val="26"/>
          <w:szCs w:val="28"/>
          <w:rtl w:val="true"/>
        </w:rPr>
        <w:t xml:space="preserve">),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הצדדים</w:t>
      </w:r>
      <w:r>
        <w:rPr>
          <w:b/>
          <w:bCs/>
          <w:color w:val="000000"/>
          <w:sz w:val="26"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זכות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לבית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העליון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תוך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</w:rPr>
        <w:t>45</w:t>
      </w:r>
      <w:r>
        <w:rPr>
          <w:b/>
          <w:bCs/>
          <w:color w:val="000000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יום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מהיום</w:t>
      </w:r>
      <w:r>
        <w:rPr>
          <w:b/>
          <w:bCs/>
          <w:color w:val="000000"/>
          <w:sz w:val="26"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  <w:sz w:val="26"/>
          <w:szCs w:val="28"/>
        </w:rPr>
      </w:pPr>
      <w:r>
        <w:rPr>
          <w:b/>
          <w:b/>
          <w:bCs/>
          <w:color w:val="000000"/>
          <w:sz w:val="26"/>
          <w:sz w:val="26"/>
          <w:szCs w:val="28"/>
          <w:rtl w:val="true"/>
        </w:rPr>
        <w:t>מותר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לפרסום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מיום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</w:rPr>
        <w:t>24.1.06</w:t>
      </w:r>
      <w:r>
        <w:rPr>
          <w:b/>
          <w:bCs/>
          <w:color w:val="000000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ללא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שמו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של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הקטין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  <w:rtl w:val="true"/>
        </w:rPr>
        <w:t>(</w:t>
      </w:r>
      <w:r>
        <w:rPr>
          <w:b/>
          <w:b/>
          <w:bCs/>
          <w:color w:val="000000"/>
          <w:sz w:val="26"/>
          <w:sz w:val="26"/>
          <w:szCs w:val="28"/>
          <w:rtl w:val="true"/>
        </w:rPr>
        <w:t>נאשם</w:t>
      </w:r>
      <w:r>
        <w:rPr>
          <w:rFonts w:cs="Times New Roman"/>
          <w:b/>
          <w:b/>
          <w:bCs/>
          <w:color w:val="000000"/>
          <w:sz w:val="26"/>
          <w:sz w:val="26"/>
          <w:szCs w:val="28"/>
          <w:rtl w:val="true"/>
        </w:rPr>
        <w:t xml:space="preserve"> </w:t>
      </w:r>
      <w:r>
        <w:rPr>
          <w:b/>
          <w:bCs/>
          <w:color w:val="000000"/>
          <w:sz w:val="26"/>
          <w:szCs w:val="28"/>
        </w:rPr>
        <w:t>2</w:t>
      </w:r>
      <w:r>
        <w:rPr>
          <w:b/>
          <w:bCs/>
          <w:color w:val="000000"/>
          <w:sz w:val="26"/>
          <w:szCs w:val="28"/>
          <w:rtl w:val="true"/>
        </w:rPr>
        <w:t>).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חנה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עמי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54678313-442/04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4"/>
          <w:szCs w:val="28"/>
        </w:rPr>
      </w:pPr>
      <w:r>
        <w:rPr>
          <w:rFonts w:cs="David"/>
          <w:b/>
          <w:bCs/>
          <w:color w:val="000000"/>
          <w:sz w:val="24"/>
          <w:szCs w:val="28"/>
          <w:rtl w:val="true"/>
        </w:rPr>
      </w:r>
    </w:p>
    <w:tbl>
      <w:tblPr>
        <w:bidiVisual w:val="true"/>
        <w:tblW w:w="307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78"/>
      </w:tblGrid>
      <w:tr>
        <w:trPr/>
        <w:tc>
          <w:tcPr>
            <w:tcW w:w="307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בן</w:t>
            </w:r>
            <w:r>
              <w:rPr>
                <w:b/>
                <w:bCs/>
                <w:sz w:val="30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עמי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  <w:sz w:val="30"/>
          <w:szCs w:val="28"/>
        </w:rPr>
      </w:pPr>
      <w:r>
        <w:rPr>
          <w:color w:val="000000"/>
          <w:sz w:val="30"/>
          <w:sz w:val="30"/>
          <w:szCs w:val="28"/>
          <w:rtl w:val="true"/>
        </w:rPr>
        <w:t>נוסח</w:t>
      </w:r>
      <w:r>
        <w:rPr>
          <w:rFonts w:cs="Times New Roman"/>
          <w:color w:val="000000"/>
          <w:sz w:val="30"/>
          <w:sz w:val="30"/>
          <w:szCs w:val="28"/>
          <w:rtl w:val="true"/>
        </w:rPr>
        <w:t xml:space="preserve"> </w:t>
      </w:r>
      <w:r>
        <w:rPr>
          <w:color w:val="000000"/>
          <w:sz w:val="30"/>
          <w:sz w:val="30"/>
          <w:szCs w:val="28"/>
          <w:rtl w:val="true"/>
        </w:rPr>
        <w:t>מסמך</w:t>
      </w:r>
      <w:r>
        <w:rPr>
          <w:rFonts w:cs="Times New Roman"/>
          <w:color w:val="000000"/>
          <w:sz w:val="30"/>
          <w:sz w:val="30"/>
          <w:szCs w:val="28"/>
          <w:rtl w:val="true"/>
        </w:rPr>
        <w:t xml:space="preserve"> </w:t>
      </w:r>
      <w:r>
        <w:rPr>
          <w:color w:val="000000"/>
          <w:sz w:val="30"/>
          <w:sz w:val="30"/>
          <w:szCs w:val="28"/>
          <w:rtl w:val="true"/>
        </w:rPr>
        <w:t>זה</w:t>
      </w:r>
      <w:r>
        <w:rPr>
          <w:rFonts w:cs="Times New Roman"/>
          <w:color w:val="000000"/>
          <w:sz w:val="30"/>
          <w:sz w:val="30"/>
          <w:szCs w:val="28"/>
          <w:rtl w:val="true"/>
        </w:rPr>
        <w:t xml:space="preserve"> </w:t>
      </w:r>
      <w:r>
        <w:rPr>
          <w:color w:val="000000"/>
          <w:sz w:val="30"/>
          <w:sz w:val="30"/>
          <w:szCs w:val="28"/>
          <w:rtl w:val="true"/>
        </w:rPr>
        <w:t>כפוף</w:t>
      </w:r>
      <w:r>
        <w:rPr>
          <w:rFonts w:cs="Times New Roman"/>
          <w:color w:val="000000"/>
          <w:sz w:val="30"/>
          <w:sz w:val="30"/>
          <w:szCs w:val="28"/>
          <w:rtl w:val="true"/>
        </w:rPr>
        <w:t xml:space="preserve"> </w:t>
      </w:r>
      <w:r>
        <w:rPr>
          <w:color w:val="000000"/>
          <w:sz w:val="30"/>
          <w:sz w:val="30"/>
          <w:szCs w:val="28"/>
          <w:rtl w:val="true"/>
        </w:rPr>
        <w:t>לשינויי</w:t>
      </w:r>
      <w:r>
        <w:rPr>
          <w:rFonts w:cs="Times New Roman"/>
          <w:color w:val="000000"/>
          <w:sz w:val="30"/>
          <w:sz w:val="30"/>
          <w:szCs w:val="28"/>
          <w:rtl w:val="true"/>
        </w:rPr>
        <w:t xml:space="preserve"> </w:t>
      </w:r>
      <w:r>
        <w:rPr>
          <w:color w:val="000000"/>
          <w:sz w:val="30"/>
          <w:sz w:val="30"/>
          <w:szCs w:val="28"/>
          <w:rtl w:val="true"/>
        </w:rPr>
        <w:t>ניסוח</w:t>
      </w:r>
      <w:r>
        <w:rPr>
          <w:rFonts w:cs="Times New Roman"/>
          <w:color w:val="000000"/>
          <w:sz w:val="30"/>
          <w:sz w:val="30"/>
          <w:szCs w:val="28"/>
          <w:rtl w:val="true"/>
        </w:rPr>
        <w:t xml:space="preserve"> </w:t>
      </w:r>
      <w:r>
        <w:rPr>
          <w:color w:val="000000"/>
          <w:sz w:val="30"/>
          <w:sz w:val="30"/>
          <w:szCs w:val="28"/>
          <w:rtl w:val="true"/>
        </w:rPr>
        <w:t>ועריכה</w:t>
      </w:r>
    </w:p>
    <w:sectPr>
      <w:headerReference w:type="default" r:id="rId49"/>
      <w:footerReference w:type="default" r:id="rId5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Guttman Kav-Light">
    <w:charset w:val="b1" w:characterSet="windows-1255"/>
    <w:family w:val="auto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/Users/liorb/Downloads/study2025-p2/m04000442-385.doc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442/04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spacing w:lineRule="auto" w:line="480"/>
      <w:ind w:hanging="0" w:start="720" w:end="0"/>
      <w:jc w:val="both"/>
    </w:pPr>
    <w:rPr>
      <w:sz w:val="30"/>
      <w:szCs w:val="28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1">
    <w:name w:val="צטוט"/>
    <w:basedOn w:val="Normal"/>
    <w:qFormat/>
    <w:pPr>
      <w:ind w:hanging="0" w:start="567" w:end="567"/>
      <w:jc w:val="both"/>
    </w:pPr>
    <w:rPr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5" TargetMode="External"/><Relationship Id="rId4" Type="http://schemas.openxmlformats.org/officeDocument/2006/relationships/hyperlink" Target="http://www.nevo.co.il/law/70301/87.a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52" TargetMode="External"/><Relationship Id="rId8" Type="http://schemas.openxmlformats.org/officeDocument/2006/relationships/hyperlink" Target="http://www.nevo.co.il/law/70301/273" TargetMode="External"/><Relationship Id="rId9" Type="http://schemas.openxmlformats.org/officeDocument/2006/relationships/hyperlink" Target="http://www.nevo.co.il/law/70301/334" TargetMode="External"/><Relationship Id="rId10" Type="http://schemas.openxmlformats.org/officeDocument/2006/relationships/hyperlink" Target="http://www.nevo.co.il/law/70301/335.1" TargetMode="External"/><Relationship Id="rId11" Type="http://schemas.openxmlformats.org/officeDocument/2006/relationships/hyperlink" Target="http://www.nevo.co.il/law/70301/335.2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/382.a" TargetMode="External"/><Relationship Id="rId14" Type="http://schemas.openxmlformats.org/officeDocument/2006/relationships/hyperlink" Target="http://www.nevo.co.il/law/70301/383" TargetMode="External"/><Relationship Id="rId15" Type="http://schemas.openxmlformats.org/officeDocument/2006/relationships/hyperlink" Target="http://www.nevo.co.il/law/70301/403" TargetMode="External"/><Relationship Id="rId16" Type="http://schemas.openxmlformats.org/officeDocument/2006/relationships/hyperlink" Target="http://www.nevo.co.il/law/70301/403.a" TargetMode="External"/><Relationship Id="rId17" Type="http://schemas.openxmlformats.org/officeDocument/2006/relationships/hyperlink" Target="http://www.nevo.co.il/law/131318" TargetMode="External"/><Relationship Id="rId18" Type="http://schemas.openxmlformats.org/officeDocument/2006/relationships/hyperlink" Target="http://www.nevo.co.il/law/131318/12" TargetMode="External"/><Relationship Id="rId19" Type="http://schemas.openxmlformats.org/officeDocument/2006/relationships/hyperlink" Target="http://www.nevo.co.il/law/70301/403" TargetMode="External"/><Relationship Id="rId20" Type="http://schemas.openxmlformats.org/officeDocument/2006/relationships/hyperlink" Target="http://www.nevo.co.il/law/70301/152" TargetMode="External"/><Relationship Id="rId21" Type="http://schemas.openxmlformats.org/officeDocument/2006/relationships/hyperlink" Target="http://www.nevo.co.il/law/70301/379" TargetMode="External"/><Relationship Id="rId22" Type="http://schemas.openxmlformats.org/officeDocument/2006/relationships/hyperlink" Target="http://www.nevo.co.il/law/70301/382.a" TargetMode="External"/><Relationship Id="rId23" Type="http://schemas.openxmlformats.org/officeDocument/2006/relationships/hyperlink" Target="http://www.nevo.co.il/law/70301/383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3" TargetMode="External"/><Relationship Id="rId26" Type="http://schemas.openxmlformats.org/officeDocument/2006/relationships/hyperlink" Target="http://www.nevo.co.il/law/70301/379" TargetMode="External"/><Relationship Id="rId27" Type="http://schemas.openxmlformats.org/officeDocument/2006/relationships/hyperlink" Target="http://www.nevo.co.il/law/70301/382.a" TargetMode="External"/><Relationship Id="rId28" Type="http://schemas.openxmlformats.org/officeDocument/2006/relationships/hyperlink" Target="http://www.nevo.co.il/law/70301/334" TargetMode="External"/><Relationship Id="rId29" Type="http://schemas.openxmlformats.org/officeDocument/2006/relationships/hyperlink" Target="http://www.nevo.co.il/law/70301/335.1" TargetMode="External"/><Relationship Id="rId30" Type="http://schemas.openxmlformats.org/officeDocument/2006/relationships/hyperlink" Target="http://www.nevo.co.il/law/70301/335.2" TargetMode="External"/><Relationship Id="rId31" Type="http://schemas.openxmlformats.org/officeDocument/2006/relationships/hyperlink" Target="http://www.nevo.co.il/law/70301/273" TargetMode="External"/><Relationship Id="rId32" Type="http://schemas.openxmlformats.org/officeDocument/2006/relationships/hyperlink" Target="http://www.nevo.co.il/case/1762090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/144" TargetMode="External"/><Relationship Id="rId35" Type="http://schemas.openxmlformats.org/officeDocument/2006/relationships/hyperlink" Target="http://www.nevo.co.il/case/5670251" TargetMode="External"/><Relationship Id="rId36" Type="http://schemas.openxmlformats.org/officeDocument/2006/relationships/hyperlink" Target="http://www.nevo.co.il/case/5670251" TargetMode="External"/><Relationship Id="rId37" Type="http://schemas.openxmlformats.org/officeDocument/2006/relationships/hyperlink" Target="http://www.nevo.co.il/law/70301/403.a" TargetMode="External"/><Relationship Id="rId38" Type="http://schemas.openxmlformats.org/officeDocument/2006/relationships/hyperlink" Target="http://www.nevo.co.il/law/70301/87.a" TargetMode="External"/><Relationship Id="rId39" Type="http://schemas.openxmlformats.org/officeDocument/2006/relationships/hyperlink" Target="http://www.nevo.co.il/case/5670251" TargetMode="External"/><Relationship Id="rId40" Type="http://schemas.openxmlformats.org/officeDocument/2006/relationships/hyperlink" Target="http://www.nevo.co.il/case/5670251" TargetMode="External"/><Relationship Id="rId41" Type="http://schemas.openxmlformats.org/officeDocument/2006/relationships/hyperlink" Target="http://www.nevo.co.il/case/5670251" TargetMode="External"/><Relationship Id="rId42" Type="http://schemas.openxmlformats.org/officeDocument/2006/relationships/hyperlink" Target="http://www.nevo.co.il/case/5983908" TargetMode="External"/><Relationship Id="rId43" Type="http://schemas.openxmlformats.org/officeDocument/2006/relationships/hyperlink" Target="http://www.nevo.co.il/case/5982047" TargetMode="External"/><Relationship Id="rId44" Type="http://schemas.openxmlformats.org/officeDocument/2006/relationships/hyperlink" Target="http://www.nevo.co.il/case/5670251" TargetMode="External"/><Relationship Id="rId45" Type="http://schemas.openxmlformats.org/officeDocument/2006/relationships/hyperlink" Target="http://www.nevo.co.il/case/17942838" TargetMode="External"/><Relationship Id="rId46" Type="http://schemas.openxmlformats.org/officeDocument/2006/relationships/hyperlink" Target="http://www.nevo.co.il/law/131318/12" TargetMode="External"/><Relationship Id="rId47" Type="http://schemas.openxmlformats.org/officeDocument/2006/relationships/hyperlink" Target="http://www.nevo.co.il/law/131318" TargetMode="External"/><Relationship Id="rId48" Type="http://schemas.openxmlformats.org/officeDocument/2006/relationships/hyperlink" Target="http://www.nevo.co.il/law/70301/45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2016-11-23T14:27:00Z</dcterms:created>
  <dc:creator> </dc:creator>
  <dc:description/>
  <cp:keywords/>
  <dc:language>en-IL</dc:language>
  <cp:lastModifiedBy>yafit</cp:lastModifiedBy>
  <dcterms:modified xsi:type="dcterms:W3CDTF">2016-11-23T14:27:00Z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פלוני;אלמוני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ProcID=170;90;188&amp;PartA=7&amp;PartC=86</vt:lpwstr>
  </property>
  <property fmtid="{D5CDD505-2E9C-101B-9397-08002B2CF9AE}" pid="9" name="CASESLISTTMP1">
    <vt:lpwstr>1762090;5670251:6;5983908;5982047;17942838</vt:lpwstr>
  </property>
  <property fmtid="{D5CDD505-2E9C-101B-9397-08002B2CF9AE}" pid="10" name="CITY">
    <vt:lpwstr>י-ם</vt:lpwstr>
  </property>
  <property fmtid="{D5CDD505-2E9C-101B-9397-08002B2CF9AE}" pid="11" name="DATE">
    <vt:lpwstr>20060124</vt:lpwstr>
  </property>
  <property fmtid="{D5CDD505-2E9C-101B-9397-08002B2CF9AE}" pid="12" name="DELEMATA">
    <vt:lpwstr>http://elyon2.court.gov.il/scripts9/mgrqispi93.dll?Appname=eScourt&amp;Prgname=GetFileDetails&amp;Arguments=-N2006-001593-0</vt:lpwstr>
  </property>
  <property fmtid="{D5CDD505-2E9C-101B-9397-08002B2CF9AE}" pid="13" name="ISABSTRACT">
    <vt:lpwstr>Y</vt:lpwstr>
  </property>
  <property fmtid="{D5CDD505-2E9C-101B-9397-08002B2CF9AE}" pid="14" name="JUDGE">
    <vt:lpwstr>חנה בן עמי</vt:lpwstr>
  </property>
  <property fmtid="{D5CDD505-2E9C-101B-9397-08002B2CF9AE}" pid="15" name="LAWLISTTMP1">
    <vt:lpwstr>70301/403:2;152;379:2;382.a:2;383;334;335.1;335.2;273;144.b;144;403.a;087.a;045</vt:lpwstr>
  </property>
  <property fmtid="{D5CDD505-2E9C-101B-9397-08002B2CF9AE}" pid="16" name="LAWLISTTMP2">
    <vt:lpwstr>131318/012</vt:lpwstr>
  </property>
  <property fmtid="{D5CDD505-2E9C-101B-9397-08002B2CF9AE}" pid="17" name="LAWYER">
    <vt:lpwstr>חגית רייזמן;איתן להמן</vt:lpwstr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</vt:lpwstr>
  </property>
  <property fmtid="{D5CDD505-2E9C-101B-9397-08002B2CF9AE}" pid="34" name="PROCNUM">
    <vt:lpwstr>442</vt:lpwstr>
  </property>
  <property fmtid="{D5CDD505-2E9C-101B-9397-08002B2CF9AE}" pid="35" name="PROCYEAR">
    <vt:lpwstr>04</vt:lpwstr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390020060124</vt:lpwstr>
  </property>
  <property fmtid="{D5CDD505-2E9C-101B-9397-08002B2CF9AE}" pid="39" name="TYPE_N_DATE">
    <vt:lpwstr>39020060124</vt:lpwstr>
  </property>
  <property fmtid="{D5CDD505-2E9C-101B-9397-08002B2CF9AE}" pid="40" name="VOLUME">
    <vt:lpwstr/>
  </property>
  <property fmtid="{D5CDD505-2E9C-101B-9397-08002B2CF9AE}" pid="41" name="WORDNUMPAGES">
    <vt:lpwstr>9</vt:lpwstr>
  </property>
</Properties>
</file>