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86"/>
        <w:gridCol w:w="1134"/>
        <w:gridCol w:w="1809"/>
      </w:tblGrid>
      <w:tr>
        <w:trPr>
          <w:trHeight w:val="195" w:hRule="atLeast"/>
        </w:trPr>
        <w:tc>
          <w:tcPr>
            <w:tcW w:w="5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השלום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בכפר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סבא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002138/03</w:t>
            </w:r>
          </w:p>
        </w:tc>
      </w:tr>
      <w:tr>
        <w:trPr>
          <w:trHeight w:val="286" w:hRule="atLeast"/>
        </w:trPr>
        <w:tc>
          <w:tcPr>
            <w:tcW w:w="5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36"/>
                <w:szCs w:val="28"/>
              </w:rPr>
            </w:pP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כב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ק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רג</w:t>
            </w:r>
            <w:r>
              <w:rPr>
                <w:b/>
                <w:bCs/>
                <w:sz w:val="36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יניאנו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24/06/2007</w:t>
            </w:r>
          </w:p>
        </w:tc>
      </w:tr>
    </w:tbl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74"/>
        <w:gridCol w:w="4764"/>
        <w:gridCol w:w="2409"/>
      </w:tblGrid>
      <w:tr>
        <w:trPr/>
        <w:tc>
          <w:tcPr>
            <w:tcW w:w="147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rtl w:val="true"/>
              </w:rPr>
              <w:t>המאשימה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עו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רועי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הנאשם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מצרי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גמאל</w:t>
            </w:r>
            <w:bookmarkStart w:id="3" w:name="שם_ב"/>
            <w:bookmarkEnd w:id="3"/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ת</w:t>
            </w:r>
            <w:r>
              <w:rPr>
                <w:b/>
                <w:bCs/>
                <w:sz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ז</w:t>
            </w:r>
            <w:r>
              <w:rPr>
                <w:b/>
                <w:bCs/>
                <w:sz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</w:rPr>
              <w:t>xxxxxxxxxx</w:t>
            </w:r>
            <w:r>
              <w:rPr>
                <w:b/>
                <w:bCs/>
                <w:sz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ע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עו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שפיגל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sz w:val="26"/>
              </w:rPr>
            </w:pPr>
            <w:r>
              <w:rPr>
                <w:sz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340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szCs w:val="24"/>
          </w:rPr>
          <w:t>413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.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4"/>
        </w:rPr>
      </w:pPr>
      <w:r>
        <w:rPr>
          <w:rFonts w:cs="FrankRuehl" w:ascii="FrankRuehl" w:hAnsi="FrankRuehl"/>
          <w:sz w:val="26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center"/>
        <w:rPr>
          <w:b/>
          <w:bCs/>
          <w:sz w:val="26"/>
          <w:u w:val="single"/>
        </w:rPr>
      </w:pPr>
      <w:bookmarkStart w:id="8" w:name="LastJudge"/>
      <w:bookmarkStart w:id="9" w:name="PsakDin"/>
      <w:bookmarkStart w:id="10" w:name="סוג_מסמך"/>
      <w:bookmarkEnd w:id="8"/>
      <w:bookmarkEnd w:id="9"/>
      <w:bookmarkEnd w:id="10"/>
      <w:r>
        <w:rPr>
          <w:b/>
          <w:b/>
          <w:bCs/>
          <w:sz w:val="26"/>
          <w:sz w:val="26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start"/>
        <w:rPr/>
      </w:pPr>
      <w:bookmarkStart w:id="13" w:name="ABSTRACT_START"/>
      <w:bookmarkEnd w:id="13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20/6/05</w:t>
      </w:r>
      <w:r>
        <w:rPr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30/4/07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5/7/03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02:45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bookmarkStart w:id="14" w:name="ABSTRACT_END"/>
      <w:bookmarkEnd w:id="14"/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הסעיפים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8"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"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).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720" w:end="0"/>
        <w:jc w:val="start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start"/>
        <w:rPr/>
      </w:pP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start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start="36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.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טירה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יגיב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, </w:t>
      </w:r>
      <w:r>
        <w:rPr>
          <w:rtl w:val="true"/>
        </w:rPr>
        <w:t>התגובה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ונקל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ind w:hanging="360" w:start="780" w:end="0"/>
        <w:jc w:val="start"/>
        <w:rPr/>
      </w:pP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ind w:hanging="360" w:start="780" w:end="0"/>
        <w:jc w:val="start"/>
        <w:rPr/>
      </w:pP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sz w:val="28"/>
          <w:sz w:val="28"/>
          <w:szCs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בתמוז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2007</w:t>
      </w:r>
      <w:r>
        <w:rPr>
          <w:b/>
          <w:bCs/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שפיגל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התביעה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רועי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פרי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end"/>
        <w:rPr/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</w:t>
      </w:r>
      <w:r>
        <w:rPr>
          <w:b/>
          <w:bCs/>
          <w:sz w:val="28"/>
          <w:szCs w:val="28"/>
          <w:rtl w:val="true"/>
        </w:rPr>
        <w:t>______________</w:t>
      </w:r>
    </w:p>
    <w:p>
      <w:pPr>
        <w:pStyle w:val="Normal"/>
        <w:ind w:end="0"/>
        <w:jc w:val="end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ק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sz w:val="28"/>
          <w:sz w:val="28"/>
          <w:szCs w:val="28"/>
          <w:rtl w:val="true"/>
        </w:rPr>
        <w:t>רג</w:t>
      </w:r>
      <w:r>
        <w:rPr>
          <w:b/>
          <w:bCs/>
          <w:sz w:val="28"/>
          <w:szCs w:val="28"/>
          <w:rtl w:val="true"/>
        </w:rPr>
        <w:t>'</w:t>
      </w:r>
      <w:r>
        <w:rPr>
          <w:b/>
          <w:b/>
          <w:bCs/>
          <w:sz w:val="28"/>
          <w:sz w:val="28"/>
          <w:szCs w:val="28"/>
          <w:rtl w:val="true"/>
        </w:rPr>
        <w:t>יניאנו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שופטת</w:t>
      </w:r>
    </w:p>
    <w:p>
      <w:pPr>
        <w:pStyle w:val="Normal"/>
        <w:ind w:end="0"/>
        <w:jc w:val="start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bookmarkStart w:id="17" w:name="Decision1"/>
      <w:bookmarkEnd w:id="17"/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8" w:name="Decision2"/>
      <w:bookmarkEnd w:id="18"/>
      <w:r>
        <w:rPr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start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מצאתי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להעתר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למספר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התארגנות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לקראת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מאסרו</w:t>
      </w:r>
      <w:r>
        <w:rPr>
          <w:sz w:val="26"/>
          <w:rtl w:val="true"/>
        </w:rPr>
        <w:t>.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נעתרת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בחלקה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עיכוב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2.7.07</w:t>
      </w:r>
      <w:r>
        <w:rPr>
          <w:sz w:val="26"/>
          <w:rtl w:val="true"/>
        </w:rPr>
        <w:t>.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sz w:val="26"/>
          <w:rtl w:val="true"/>
        </w:rPr>
        <w:t>בהעדר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יתייצב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11.00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במזכירות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sz w:val="26"/>
          <w:rtl w:val="true"/>
        </w:rPr>
        <w:t>הערבויות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לגביהם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החליט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יעמדו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בתוקפם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לענין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</w:t>
      </w:r>
      <w:r>
        <w:rPr>
          <w:sz w:val="26"/>
          <w:rtl w:val="true"/>
        </w:rPr>
        <w:t>.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8"/>
          <w:sz w:val="28"/>
          <w:szCs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בתמוז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2007</w:t>
      </w:r>
      <w:r>
        <w:rPr>
          <w:b/>
          <w:bCs/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end"/>
        <w:rPr/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</w:t>
      </w:r>
      <w:r>
        <w:rPr>
          <w:b/>
          <w:bCs/>
          <w:sz w:val="28"/>
          <w:szCs w:val="28"/>
          <w:rtl w:val="true"/>
        </w:rPr>
        <w:t>______________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ק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רג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יניאנו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54678313-2138/03</w:t>
      </w:r>
    </w:p>
    <w:p>
      <w:pPr>
        <w:pStyle w:val="Normal"/>
        <w:ind w:end="0"/>
        <w:jc w:val="end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ק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/>
          <w:bCs/>
          <w:sz w:val="28"/>
          <w:sz w:val="28"/>
          <w:szCs w:val="28"/>
          <w:rtl w:val="true"/>
        </w:rPr>
        <w:t>רג</w:t>
      </w:r>
      <w:r>
        <w:rPr>
          <w:b/>
          <w:bCs/>
          <w:sz w:val="28"/>
          <w:szCs w:val="28"/>
          <w:rtl w:val="true"/>
        </w:rPr>
        <w:t>'</w:t>
      </w:r>
      <w:r>
        <w:rPr>
          <w:b/>
          <w:b/>
          <w:bCs/>
          <w:sz w:val="28"/>
          <w:sz w:val="28"/>
          <w:szCs w:val="28"/>
          <w:rtl w:val="true"/>
        </w:rPr>
        <w:t>יניאנו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שופטת</w:t>
      </w:r>
    </w:p>
    <w:p>
      <w:pPr>
        <w:pStyle w:val="Normal"/>
        <w:ind w:end="0"/>
        <w:jc w:val="start"/>
        <w:rPr>
          <w:color w:val="000000"/>
          <w:sz w:val="26"/>
        </w:rPr>
      </w:pPr>
      <w:bookmarkStart w:id="19" w:name="Decision2"/>
      <w:bookmarkEnd w:id="19"/>
      <w:r>
        <w:rPr>
          <w:color w:val="000000"/>
          <w:sz w:val="26"/>
          <w:sz w:val="26"/>
          <w:rtl w:val="true"/>
        </w:rPr>
        <w:t>נוסח</w:t>
      </w:r>
      <w:r>
        <w:rPr>
          <w:rFonts w:cs="Times New Roman"/>
          <w:color w:val="000000"/>
          <w:sz w:val="26"/>
          <w:sz w:val="26"/>
          <w:rtl w:val="true"/>
        </w:rPr>
        <w:t xml:space="preserve"> </w:t>
      </w:r>
      <w:r>
        <w:rPr>
          <w:color w:val="000000"/>
          <w:sz w:val="26"/>
          <w:sz w:val="26"/>
          <w:rtl w:val="true"/>
        </w:rPr>
        <w:t>מסמך</w:t>
      </w:r>
      <w:r>
        <w:rPr>
          <w:rFonts w:cs="Times New Roman"/>
          <w:color w:val="000000"/>
          <w:sz w:val="26"/>
          <w:sz w:val="26"/>
          <w:rtl w:val="true"/>
        </w:rPr>
        <w:t xml:space="preserve"> </w:t>
      </w:r>
      <w:r>
        <w:rPr>
          <w:color w:val="000000"/>
          <w:sz w:val="26"/>
          <w:sz w:val="26"/>
          <w:rtl w:val="true"/>
        </w:rPr>
        <w:t>זה</w:t>
      </w:r>
      <w:r>
        <w:rPr>
          <w:rFonts w:cs="Times New Roman"/>
          <w:color w:val="000000"/>
          <w:sz w:val="26"/>
          <w:sz w:val="26"/>
          <w:rtl w:val="true"/>
        </w:rPr>
        <w:t xml:space="preserve"> </w:t>
      </w:r>
      <w:r>
        <w:rPr>
          <w:color w:val="000000"/>
          <w:sz w:val="26"/>
          <w:sz w:val="26"/>
          <w:rtl w:val="true"/>
        </w:rPr>
        <w:t>כפוף</w:t>
      </w:r>
      <w:r>
        <w:rPr>
          <w:rFonts w:cs="Times New Roman"/>
          <w:color w:val="000000"/>
          <w:sz w:val="26"/>
          <w:sz w:val="26"/>
          <w:rtl w:val="true"/>
        </w:rPr>
        <w:t xml:space="preserve"> </w:t>
      </w:r>
      <w:r>
        <w:rPr>
          <w:color w:val="000000"/>
          <w:sz w:val="26"/>
          <w:sz w:val="26"/>
          <w:rtl w:val="true"/>
        </w:rPr>
        <w:t>לשינויי</w:t>
      </w:r>
      <w:r>
        <w:rPr>
          <w:rFonts w:cs="Times New Roman"/>
          <w:color w:val="000000"/>
          <w:sz w:val="26"/>
          <w:sz w:val="26"/>
          <w:rtl w:val="true"/>
        </w:rPr>
        <w:t xml:space="preserve"> </w:t>
      </w:r>
      <w:r>
        <w:rPr>
          <w:color w:val="000000"/>
          <w:sz w:val="26"/>
          <w:sz w:val="26"/>
          <w:rtl w:val="true"/>
        </w:rPr>
        <w:t>ניסוח</w:t>
      </w:r>
      <w:r>
        <w:rPr>
          <w:rFonts w:cs="Times New Roman"/>
          <w:color w:val="000000"/>
          <w:sz w:val="26"/>
          <w:sz w:val="26"/>
          <w:rtl w:val="true"/>
        </w:rPr>
        <w:t xml:space="preserve"> </w:t>
      </w:r>
      <w:r>
        <w:rPr>
          <w:color w:val="000000"/>
          <w:sz w:val="26"/>
          <w:sz w:val="26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/Users/liorb/Downloads/study2025-p2/s03002138-375.doc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2138/03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מצרי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גמאל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80"/>
        </w:tabs>
        <w:ind w:start="7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firstLine="720" w:start="2160" w:end="0"/>
      <w:jc w:val="start"/>
      <w:outlineLvl w:val="4"/>
    </w:pPr>
    <w:rPr>
      <w:b/>
      <w:bCs/>
      <w:sz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413e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2016-10-10T15:45:00Z</dcterms:created>
  <dc:creator> </dc:creator>
  <dc:description/>
  <cp:keywords/>
  <dc:language>en-IL</dc:language>
  <cp:lastModifiedBy>run</cp:lastModifiedBy>
  <dcterms:modified xsi:type="dcterms:W3CDTF">2016-10-10T15:45:00Z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מצרי גמאל</vt:lpwstr>
  </property>
  <property fmtid="{D5CDD505-2E9C-101B-9397-08002B2CF9AE}" pid="4" name="CITY">
    <vt:lpwstr>כ"ס</vt:lpwstr>
  </property>
  <property fmtid="{D5CDD505-2E9C-101B-9397-08002B2CF9AE}" pid="5" name="DATE">
    <vt:lpwstr>20070624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ק. רג'יניאנו</vt:lpwstr>
  </property>
  <property fmtid="{D5CDD505-2E9C-101B-9397-08002B2CF9AE}" pid="9" name="LAWLISTTMP1">
    <vt:lpwstr>70301/144.a;340a;413e;144</vt:lpwstr>
  </property>
  <property fmtid="{D5CDD505-2E9C-101B-9397-08002B2CF9AE}" pid="10" name="LAWYER">
    <vt:lpwstr>רועי פרי;שפיגל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2138</vt:lpwstr>
  </property>
  <property fmtid="{D5CDD505-2E9C-101B-9397-08002B2CF9AE}" pid="28" name="PROCYEAR">
    <vt:lpwstr>03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