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26"/>
          <w:szCs w:val="26"/>
          <w:u w:val="none"/>
        </w:rPr>
      </w:pPr>
      <w:bookmarkStart w:id="0" w:name="LastJudge"/>
      <w:bookmarkStart w:id="1" w:name="צד_ג"/>
      <w:bookmarkEnd w:id="0"/>
      <w:bookmarkEnd w:id="1"/>
      <w:r>
        <w:rPr>
          <w:sz w:val="26"/>
          <w:sz w:val="26"/>
          <w:szCs w:val="26"/>
          <w:u w:val="none"/>
          <w:rtl w:val="true"/>
        </w:rPr>
        <w:t>בתי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  <w:r>
        <w:rPr>
          <w:sz w:val="26"/>
          <w:sz w:val="26"/>
          <w:szCs w:val="26"/>
          <w:u w:val="none"/>
          <w:rtl w:val="true"/>
        </w:rPr>
        <w:t>המשפט</w:t>
      </w:r>
      <w:r>
        <w:rPr>
          <w:rFonts w:cs="Times New Roman"/>
          <w:sz w:val="26"/>
          <w:sz w:val="26"/>
          <w:szCs w:val="26"/>
          <w:u w:val="none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8"/>
        <w:gridCol w:w="1106"/>
        <w:gridCol w:w="4700"/>
        <w:gridCol w:w="908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 </w:t>
            </w:r>
            <w:r>
              <w:rPr>
                <w:sz w:val="26"/>
                <w:szCs w:val="26"/>
                <w:u w:val="none"/>
              </w:rPr>
              <w:t>003105/02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בית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משפט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השלום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כפר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Cs w:val="26"/>
                <w:u w:val="none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סבא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Times New Roman"/>
                <w:b w:val="false"/>
                <w:bCs w:val="false"/>
                <w:sz w:val="26"/>
                <w:szCs w:val="26"/>
                <w:u w:val="none"/>
              </w:rPr>
            </w:pPr>
            <w:r>
              <w:rPr>
                <w:rFonts w:cs="Times New Roman"/>
                <w:b w:val="false"/>
                <w:bCs w:val="false"/>
                <w:sz w:val="26"/>
                <w:szCs w:val="26"/>
                <w:u w:val="none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</w:r>
          </w:p>
        </w:tc>
      </w:tr>
      <w:tr>
        <w:trPr>
          <w:trHeight w:val="286" w:hRule="atLeast"/>
        </w:trPr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24/02/2004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תאריך</w:t>
            </w:r>
            <w:r>
              <w:rPr>
                <w:sz w:val="26"/>
                <w:szCs w:val="26"/>
                <w:u w:val="none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כבוד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השופטת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נאוה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בכור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בפני</w:t>
            </w:r>
            <w:r>
              <w:rPr>
                <w:sz w:val="26"/>
                <w:szCs w:val="26"/>
                <w:u w:val="none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u w:val="none"/>
        </w:rPr>
      </w:pPr>
      <w:r>
        <w:rPr>
          <w:u w:val="non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בעניין</w:t>
            </w:r>
            <w:r>
              <w:rPr>
                <w:b/>
                <w:bCs/>
                <w:u w:val="none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bookmarkStart w:id="4" w:name="FirstLawyer"/>
            <w:bookmarkEnd w:id="4"/>
            <w:r>
              <w:rPr>
                <w:b/>
                <w:b/>
                <w:bCs/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אפרת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פאר</w:t>
            </w:r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ע</w:t>
            </w:r>
            <w:r>
              <w:rPr>
                <w:b/>
                <w:bCs/>
                <w:u w:val="none"/>
                <w:rtl w:val="true"/>
              </w:rPr>
              <w:t>"</w:t>
            </w:r>
            <w:r>
              <w:rPr>
                <w:b/>
                <w:b/>
                <w:bCs/>
                <w:u w:val="none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ב</w:t>
            </w:r>
            <w:r>
              <w:rPr>
                <w:b/>
                <w:bCs/>
                <w:u w:val="none"/>
                <w:rtl w:val="true"/>
              </w:rPr>
              <w:t>"</w:t>
            </w:r>
            <w:r>
              <w:rPr>
                <w:b/>
                <w:b/>
                <w:bCs/>
                <w:u w:val="none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עו</w:t>
            </w:r>
            <w:r>
              <w:rPr>
                <w:b/>
                <w:bCs/>
                <w:u w:val="none"/>
                <w:rtl w:val="true"/>
              </w:rPr>
              <w:t>"</w:t>
            </w:r>
            <w:r>
              <w:rPr>
                <w:b/>
                <w:b/>
                <w:bCs/>
                <w:u w:val="none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cs="Times New Roman"/>
                <w:b/>
                <w:bCs/>
                <w:sz w:val="20"/>
                <w:szCs w:val="20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 </w:t>
            </w:r>
            <w:r>
              <w:rPr>
                <w:b/>
                <w:b/>
                <w:bCs/>
                <w:u w:val="none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 </w:t>
            </w:r>
            <w:r>
              <w:rPr>
                <w:b/>
                <w:b/>
                <w:bCs/>
                <w:u w:val="none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bookmarkStart w:id="6" w:name="שם_ב"/>
            <w:bookmarkEnd w:id="6"/>
            <w:r>
              <w:rPr>
                <w:b/>
                <w:b/>
                <w:bCs/>
                <w:u w:val="none"/>
                <w:rtl w:val="true"/>
              </w:rPr>
              <w:t>הנאשם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ג</w:t>
            </w:r>
            <w:r>
              <w:rPr>
                <w:b/>
                <w:bCs/>
                <w:u w:val="none"/>
                <w:rtl w:val="true"/>
              </w:rPr>
              <w:t>'</w:t>
            </w:r>
            <w:r>
              <w:rPr>
                <w:b/>
                <w:b/>
                <w:bCs/>
                <w:u w:val="none"/>
                <w:rtl w:val="true"/>
              </w:rPr>
              <w:t>אבר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לטיף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ריאל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ת</w:t>
            </w:r>
            <w:r>
              <w:rPr>
                <w:b/>
                <w:bCs/>
                <w:u w:val="none"/>
                <w:rtl w:val="true"/>
              </w:rPr>
              <w:t>"</w:t>
            </w:r>
            <w:r>
              <w:rPr>
                <w:b/>
                <w:b/>
                <w:bCs/>
                <w:u w:val="none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Cs/>
                <w:u w:val="none"/>
              </w:rPr>
              <w:t>032995367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Times New Roman"/>
                <w:b/>
                <w:bCs/>
                <w:sz w:val="20"/>
                <w:szCs w:val="20"/>
                <w:u w:val="none"/>
              </w:rPr>
            </w:pPr>
            <w:r>
              <w:rPr>
                <w:rFonts w:cs="Times New Roman"/>
                <w:b/>
                <w:bCs/>
                <w:sz w:val="20"/>
                <w:szCs w:val="20"/>
                <w:u w:val="none"/>
                <w:rtl w:val="true"/>
              </w:rPr>
            </w:r>
            <w:bookmarkStart w:id="7" w:name="בא_כוח_ב"/>
            <w:bookmarkStart w:id="8" w:name="כינוי_ב"/>
            <w:bookmarkStart w:id="9" w:name="בא_כוח_ב"/>
            <w:bookmarkStart w:id="10" w:name="כינוי_ב"/>
            <w:bookmarkEnd w:id="9"/>
            <w:bookmarkEnd w:id="10"/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שוורצברג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ע</w:t>
            </w:r>
            <w:r>
              <w:rPr>
                <w:b/>
                <w:bCs/>
                <w:u w:val="none"/>
                <w:rtl w:val="true"/>
              </w:rPr>
              <w:t>"</w:t>
            </w:r>
            <w:r>
              <w:rPr>
                <w:b/>
                <w:b/>
                <w:bCs/>
                <w:u w:val="none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ב</w:t>
            </w:r>
            <w:r>
              <w:rPr>
                <w:b/>
                <w:bCs/>
                <w:u w:val="none"/>
                <w:rtl w:val="true"/>
              </w:rPr>
              <w:t>"</w:t>
            </w:r>
            <w:r>
              <w:rPr>
                <w:b/>
                <w:b/>
                <w:bCs/>
                <w:u w:val="none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עו</w:t>
            </w:r>
            <w:r>
              <w:rPr>
                <w:b/>
                <w:bCs/>
                <w:u w:val="none"/>
                <w:rtl w:val="true"/>
              </w:rPr>
              <w:t>"</w:t>
            </w:r>
            <w:r>
              <w:rPr>
                <w:b/>
                <w:b/>
                <w:bCs/>
                <w:u w:val="none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b/>
                <w:bCs/>
                <w:szCs w:val="26"/>
                <w:u w:val="none"/>
              </w:rPr>
            </w:pPr>
            <w:r>
              <w:rPr>
                <w:b/>
                <w:bCs/>
                <w:szCs w:val="26"/>
                <w:u w:val="non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bookmarkStart w:id="11" w:name="LastJudge"/>
      <w:bookmarkStart w:id="12" w:name="צד_ג"/>
      <w:bookmarkStart w:id="13" w:name="PsakDin"/>
      <w:bookmarkStart w:id="14" w:name="סוג_מסמך"/>
      <w:bookmarkEnd w:id="11"/>
      <w:bookmarkEnd w:id="12"/>
      <w:bookmarkEnd w:id="13"/>
      <w:bookmarkEnd w:id="14"/>
      <w:r>
        <w:rPr>
          <w:sz w:val="32"/>
          <w:sz w:val="32"/>
          <w:szCs w:val="32"/>
          <w:rtl w:val="true"/>
        </w:rPr>
        <w:t>גזר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5" w:name="PsakDin"/>
      <w:bookmarkEnd w:id="15"/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>.</w:t>
        <w:tab/>
      </w:r>
      <w:bookmarkStart w:id="16" w:name="ABSTRACT_START"/>
      <w:bookmarkEnd w:id="16"/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הודאתו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ובמסגרת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הסדר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טיעון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החזקת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לפי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סעיף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144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א</w:t>
      </w:r>
      <w:r>
        <w:rPr>
          <w:b w:val="false"/>
          <w:bCs w:val="false"/>
          <w:u w:val="none"/>
          <w:rtl w:val="true"/>
        </w:rPr>
        <w:t xml:space="preserve">) </w:t>
      </w:r>
      <w:r>
        <w:rPr>
          <w:b w:val="false"/>
          <w:b w:val="false"/>
          <w:bCs w:val="false"/>
          <w:u w:val="none"/>
          <w:rtl w:val="true"/>
        </w:rPr>
        <w:t>רישא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לחוק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העונשין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תשל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1977</w:t>
      </w:r>
      <w:r>
        <w:rPr>
          <w:b w:val="false"/>
          <w:bCs w:val="false"/>
          <w:u w:val="none"/>
          <w:rtl w:val="true"/>
        </w:rPr>
        <w:t xml:space="preserve"> (</w:t>
      </w:r>
      <w:r>
        <w:rPr>
          <w:b w:val="false"/>
          <w:b w:val="false"/>
          <w:bCs w:val="false"/>
          <w:u w:val="none"/>
          <w:rtl w:val="true"/>
        </w:rPr>
        <w:t>להלן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החוק</w:t>
      </w:r>
      <w:r>
        <w:rPr>
          <w:u w:val="none"/>
          <w:rtl w:val="true"/>
        </w:rPr>
        <w:t>"</w:t>
      </w:r>
      <w:r>
        <w:rPr>
          <w:b w:val="false"/>
          <w:bCs w:val="false"/>
          <w:u w:val="none"/>
          <w:rtl w:val="true"/>
        </w:rPr>
        <w:t xml:space="preserve">), </w:t>
      </w:r>
      <w:r>
        <w:rPr>
          <w:b w:val="false"/>
          <w:b w:val="false"/>
          <w:bCs w:val="false"/>
          <w:u w:val="none"/>
          <w:rtl w:val="true"/>
        </w:rPr>
        <w:t>השמדת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ראיה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לפי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242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לחוק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ושיבוש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מהלכי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משפט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לפי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244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לחוק</w:t>
      </w:r>
      <w:bookmarkStart w:id="17" w:name="ABSTRACT_END"/>
      <w:bookmarkEnd w:id="17"/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מעובדות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כתב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עולה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בתאריך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22.11.01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בסמוך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לכך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ליד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גשר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הכניסה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לטייבה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רכש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מאחר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יהאד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אבר</w:t>
      </w:r>
      <w:r>
        <w:rPr>
          <w:b w:val="false"/>
          <w:bCs w:val="false"/>
          <w:u w:val="none"/>
          <w:rtl w:val="true"/>
        </w:rPr>
        <w:t xml:space="preserve">) </w:t>
      </w:r>
      <w:r>
        <w:rPr>
          <w:b w:val="false"/>
          <w:b w:val="false"/>
          <w:bCs w:val="false"/>
          <w:u w:val="none"/>
          <w:rtl w:val="true"/>
        </w:rPr>
        <w:t>אקדח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חצי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אוטומטי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בקוטר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9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תמורת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2,000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u w:val="none"/>
          <w:rtl w:val="true"/>
        </w:rPr>
        <w:t>₪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color w:val="FFFFFF"/>
          <w:sz w:val="4"/>
          <w:szCs w:val="4"/>
          <w:u w:val="none"/>
        </w:rPr>
      </w:pPr>
      <w:r>
        <w:rPr>
          <w:b w:val="false"/>
          <w:bCs w:val="false"/>
          <w:color w:val="FFFFFF"/>
          <w:sz w:val="4"/>
          <w:szCs w:val="4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color w:val="FFFFFF"/>
          <w:sz w:val="4"/>
          <w:szCs w:val="4"/>
          <w:u w:val="none"/>
        </w:rPr>
      </w:pPr>
      <w:r>
        <w:rPr>
          <w:b w:val="false"/>
          <w:bCs w:val="false"/>
          <w:color w:val="FFFFFF"/>
          <w:sz w:val="4"/>
          <w:szCs w:val="4"/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  <w:bCs w:val="false"/>
          <w:color w:val="FFFFFF"/>
          <w:sz w:val="4"/>
          <w:szCs w:val="4"/>
          <w:u w:val="none"/>
        </w:rPr>
        <w:t>51293715129371</w:t>
      </w: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התאריכים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22.11.01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18.12.01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פירק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מהאקדח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שרכש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הקנה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והנוקר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והשליכם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למערכת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הביוב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טייבה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במטרה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למנוע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זיהויו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האקדח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וקשירתו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שבוצעו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במעשיו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רכש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והחזיק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רשות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ביודעו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האקדח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דרוש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עשוי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להיות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דרוש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לראיה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בהליך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שיפוטי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השמיד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במזיד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חלקים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ממנו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בכוונה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למנוע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השימוש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לראיה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ולחילופין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השמיד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חלקי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האקדח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בכוונה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למנוע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לשבש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חקירה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פלילית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u w:val="none"/>
          <w:rtl w:val="true"/>
        </w:rPr>
        <w:t>נ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בתאריך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16.2.04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גובש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הצדדים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הסדר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טיעון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הודה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במיוחס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בכתב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האישום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והצדדים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עתרו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מוסכם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שבמסגרתו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יוארך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תנאי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שנגזר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פ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Cs w:val="false"/>
          <w:u w:val="none"/>
        </w:rPr>
        <w:t>304/96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בבימ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המחוזי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א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ויושת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קנס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בסך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35,000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u w:val="none"/>
          <w:rtl w:val="true"/>
        </w:rPr>
        <w:t>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עתר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בצד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הקנס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יקבע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חמור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ממושך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תשלומו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בטיעוני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לעונש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טען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מבלי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להקל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ראש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בחומרת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הסיבה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המרכזית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לגיבוש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הסדר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טיעון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העובדה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בזמן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הרלוונטי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לחקירת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נחקר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רצח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שבוצע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בטייבה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שיתף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פעולה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היחידה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החוקרת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והביא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לידי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המשטרה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ששימש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לביצוע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הרצח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ושהיווה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ראיה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חיונית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בחקירת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הרצח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כנ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ל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עניינם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מעורבים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אחרים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בפרשה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להסתיים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האד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אבר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הושת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 w:val="false"/>
          <w:bCs w:val="false"/>
          <w:u w:val="none"/>
          <w:rtl w:val="true"/>
        </w:rPr>
        <w:t>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בפועל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למשך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שנים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הוסיף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גיליון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הרשעות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מכביד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רכוש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אלימות</w:t>
      </w:r>
      <w:r>
        <w:rPr>
          <w:b w:val="false"/>
          <w:bCs w:val="false"/>
          <w:u w:val="none"/>
          <w:rtl w:val="true"/>
        </w:rPr>
        <w:t xml:space="preserve">), </w:t>
      </w:r>
      <w:r>
        <w:rPr>
          <w:b w:val="false"/>
          <w:b w:val="false"/>
          <w:bCs w:val="false"/>
          <w:u w:val="none"/>
          <w:rtl w:val="true"/>
        </w:rPr>
        <w:t>ובתקופה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הרלוונטית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אסיר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ברשיון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לאחר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ששוחרר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שחרור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מוקדם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מהכלא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Cs w:val="false"/>
          <w:u w:val="none"/>
        </w:rPr>
        <w:t>11.12.00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ותוקף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רשיונו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3.1.02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יחד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זאת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הרשעתו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99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בגין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ביצוע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96</w:t>
      </w:r>
      <w:r>
        <w:rPr>
          <w:b w:val="false"/>
          <w:bCs w:val="false"/>
          <w:u w:val="none"/>
          <w:rtl w:val="true"/>
        </w:rPr>
        <w:t xml:space="preserve">'. </w:t>
      </w:r>
    </w:p>
    <w:p>
      <w:pPr>
        <w:pStyle w:val="Heading4"/>
        <w:ind w:end="0"/>
        <w:jc w:val="both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  <w:rtl w:val="true"/>
        </w:rPr>
      </w:r>
    </w:p>
    <w:p>
      <w:pPr>
        <w:pStyle w:val="Normal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בטיעוניו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לעונש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הוסיף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הודה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במיוחס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וחסך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יקר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הרשעתו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99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ומעורבותו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בתיק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הנוכחי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ארעה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לאחר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שחרורו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ממאסר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ציין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נשוי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ואשתו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בחודש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התשיעי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להריונה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ובכלל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נסיבות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הסדר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הטיעון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הינו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ראוי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ומאזן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הציבורי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לזה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עתר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לאמצו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לענין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הקנס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עתר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גובהו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יחולק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Cs w:val="false"/>
          <w:u w:val="none"/>
        </w:rPr>
        <w:t>7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תשלומים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  <w:bCs w:val="false"/>
          <w:u w:val="none"/>
        </w:rPr>
        <w:t>6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rtl w:val="true"/>
        </w:rPr>
        <w:t>הכרעה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4702/02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תק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2003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) </w:t>
      </w:r>
      <w:r>
        <w:rPr>
          <w:b w:val="false"/>
          <w:bCs w:val="false"/>
          <w:u w:val="none"/>
        </w:rPr>
        <w:t>101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קבע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השופט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b w:val="false"/>
          <w:bCs w:val="false"/>
          <w:u w:val="none"/>
          <w:rtl w:val="true"/>
        </w:rPr>
        <w:t xml:space="preserve">: </w:t>
      </w:r>
    </w:p>
    <w:p>
      <w:pPr>
        <w:pStyle w:val="Normal"/>
        <w:ind w:hanging="720" w:start="1440" w:end="0"/>
        <w:jc w:val="both"/>
        <w:rPr>
          <w:b w:val="false"/>
          <w:bCs w:val="false"/>
          <w:u w:val="none"/>
        </w:rPr>
      </w:pPr>
      <w:r>
        <w:rPr>
          <w:u w:val="none"/>
          <w:rtl w:val="true"/>
        </w:rPr>
        <w:tab/>
        <w:t>"</w:t>
      </w:r>
      <w:r>
        <w:rPr>
          <w:u w:val="none"/>
          <w:rtl w:val="true"/>
        </w:rPr>
        <w:t>נשק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המוחזק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ללא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רשיון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מוצא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דרכו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לידיים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עויינות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עברייניות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ומכאן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ועד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לפגיעה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בחפים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מפשע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הדרך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קצרה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על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רקע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זה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חזר</w:t>
      </w:r>
      <w:r>
        <w:rPr>
          <w:rFonts w:cs="Times New Roman"/>
          <w:u w:val="none"/>
          <w:rtl w:val="true"/>
        </w:rPr>
        <w:t xml:space="preserve">  </w:t>
      </w:r>
      <w:r>
        <w:rPr>
          <w:u w:val="none"/>
          <w:rtl w:val="true"/>
        </w:rPr>
        <w:t>בית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משפט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זה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והנחה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הערכאות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השונות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להחמיר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בעונשים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עבריינים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בתחום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זה</w:t>
      </w:r>
      <w:r>
        <w:rPr>
          <w:u w:val="none"/>
          <w:rtl w:val="true"/>
        </w:rPr>
        <w:t>..."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u w:val="none"/>
          <w:rtl w:val="true"/>
        </w:rPr>
        <w:t>ב</w:t>
      </w:r>
    </w:p>
    <w:p>
      <w:pPr>
        <w:pStyle w:val="Normal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יוסף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נוסף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החזקת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חמורות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נוספות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השמדת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ראיה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ושיבוש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מהלכי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משפט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תוך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פגיעה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ביודעין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במערכות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המשפט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והצדק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והפגנת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זלזול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בוטה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בסדרי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השלטון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וכל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עשה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בעודו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אסיר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ברשיון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עבר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עשיר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בעבירות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שבכללן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גניבות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רכב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פריצות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לרכב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שוד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מזוין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ניסיון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להצתה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ועוד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יוער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העבירה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האחרונה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בגינה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היתה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Cs w:val="false"/>
          <w:u w:val="none"/>
        </w:rPr>
        <w:t>10.4.98</w:t>
      </w:r>
      <w:r>
        <w:rPr>
          <w:b w:val="false"/>
          <w:bCs w:val="false"/>
          <w:u w:val="none"/>
          <w:rtl w:val="true"/>
        </w:rPr>
        <w:t xml:space="preserve"> (</w:t>
      </w:r>
      <w:r>
        <w:rPr>
          <w:b w:val="false"/>
          <w:b w:val="false"/>
          <w:bCs w:val="false"/>
          <w:u w:val="none"/>
          <w:rtl w:val="true"/>
        </w:rPr>
        <w:t>הרשעה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5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בגליון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ההרשעות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הקודמות</w:t>
      </w:r>
      <w:r>
        <w:rPr>
          <w:b w:val="false"/>
          <w:bCs w:val="false"/>
          <w:u w:val="none"/>
          <w:rtl w:val="true"/>
        </w:rPr>
        <w:t xml:space="preserve">), </w:t>
      </w:r>
      <w:r>
        <w:rPr>
          <w:b w:val="false"/>
          <w:b w:val="false"/>
          <w:bCs w:val="false"/>
          <w:u w:val="none"/>
          <w:rtl w:val="true"/>
        </w:rPr>
        <w:t>ולא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 w:val="false"/>
          <w:bCs w:val="false"/>
          <w:u w:val="none"/>
          <w:rtl w:val="true"/>
        </w:rPr>
        <w:t>כנטען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הצדדים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Cs w:val="false"/>
          <w:u w:val="none"/>
        </w:rPr>
        <w:t>96</w:t>
      </w:r>
      <w:r>
        <w:rPr>
          <w:b w:val="false"/>
          <w:bCs w:val="false"/>
          <w:u w:val="none"/>
          <w:rtl w:val="true"/>
        </w:rPr>
        <w:t>').</w:t>
      </w:r>
      <w:r>
        <w:rPr>
          <w:b w:val="false"/>
          <w:b w:val="false"/>
          <w:bCs w:val="false"/>
          <w:color w:val="FFFFFF"/>
          <w:sz w:val="4"/>
          <w:sz w:val="4"/>
          <w:szCs w:val="4"/>
          <w:u w:val="none"/>
          <w:rtl w:val="true"/>
        </w:rPr>
        <w:t>ו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הצדדים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גובש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הסכם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טיעון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כשהצדדים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הדגישו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בטיעוניהם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לאימוץ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ההסכם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שיתוף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הפעולה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חקירת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המשטרה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שהביאה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לתפיסתם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מעורבים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ברצח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שנחקר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באותה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כשתודות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נתפס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הנשק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ששימש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לביצוע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רצח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ציינו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הצדדים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העובדה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הרשעתו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האחרונה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99</w:t>
      </w:r>
      <w:r>
        <w:rPr>
          <w:b w:val="false"/>
          <w:bCs w:val="false"/>
          <w:u w:val="none"/>
          <w:rtl w:val="true"/>
        </w:rPr>
        <w:t xml:space="preserve">', </w:t>
      </w:r>
      <w:r>
        <w:rPr>
          <w:b w:val="false"/>
          <w:b w:val="false"/>
          <w:bCs w:val="false"/>
          <w:u w:val="none"/>
          <w:rtl w:val="true"/>
        </w:rPr>
        <w:t>וכן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מצבו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המשפחתי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הודייתו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והחסכון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הניכר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בזמן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כך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בע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פ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1958/98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פלוני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פד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נז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) </w:t>
      </w:r>
      <w:r>
        <w:rPr>
          <w:b w:val="false"/>
          <w:bCs w:val="false"/>
          <w:u w:val="none"/>
        </w:rPr>
        <w:t>577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נקבע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השפטת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בייניש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b w:val="false"/>
          <w:bCs w:val="false"/>
          <w:u w:val="none"/>
          <w:rtl w:val="true"/>
        </w:rPr>
        <w:t xml:space="preserve">: </w:t>
      </w:r>
    </w:p>
    <w:p>
      <w:pPr>
        <w:pStyle w:val="Normal"/>
        <w:ind w:start="1440" w:end="0"/>
        <w:jc w:val="both"/>
        <w:rPr>
          <w:b w:val="false"/>
          <w:bCs w:val="false"/>
          <w:u w:val="none"/>
        </w:rPr>
      </w:pPr>
      <w:r>
        <w:rPr>
          <w:u w:val="none"/>
          <w:rtl w:val="true"/>
        </w:rPr>
        <w:t>"</w:t>
      </w:r>
      <w:r>
        <w:rPr>
          <w:u w:val="none"/>
          <w:rtl w:val="true"/>
        </w:rPr>
        <w:t>בהעדר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פגם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פסול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בהודיה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שניתנה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במסגרת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הסדר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טיעון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ירשיע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בית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המשפט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על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פי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הודעתו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ויגדיר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עונשו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בהתקיים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איזון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ראוי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האינטרס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הציבורי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הרחב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שהתביעה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מייצגת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מצד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אחד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לבין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טובת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ההנאה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שניתנה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מצד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אחר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יכבד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בית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המשפט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הסדר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הטיעון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בית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המשפט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ישווה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לנגד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עיניו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בין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היתר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המגמה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העקרונית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לעידוד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הסדרי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טיעון</w:t>
      </w:r>
      <w:r>
        <w:rPr>
          <w:u w:val="none"/>
          <w:rtl w:val="true"/>
        </w:rPr>
        <w:t>".</w:t>
      </w:r>
      <w:r>
        <w:rPr>
          <w:color w:val="FFFFFF"/>
          <w:sz w:val="4"/>
          <w:sz w:val="4"/>
          <w:szCs w:val="4"/>
          <w:u w:val="none"/>
          <w:rtl w:val="true"/>
        </w:rPr>
        <w:t>נ</w:t>
      </w:r>
    </w:p>
    <w:p>
      <w:pPr>
        <w:pStyle w:val="Normal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לאחר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ששקלתי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הנסיבות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לקולא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ולחומרא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החלטתי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לאמץ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הסדר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הטיעון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הצדדים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למרות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חומרתן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היתרה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העבירות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הורשע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והנימוקים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הרבים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לחומרא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בעניינו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וזאת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הנימוקים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כבדי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המשקל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שהציגו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הצדדים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שיש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כדי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לאזן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האינטרס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הציבורי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הרחב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שבפענוח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רצח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והבאת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האחראים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לדין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טובת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ההנאה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שניתנה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שהינה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אכן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מהותית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ומשמעותית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אין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להתעלם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מהעובדה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כי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תנאי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הממושך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בן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18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חודשים</w:t>
      </w:r>
      <w:r>
        <w:rPr>
          <w:b w:val="false"/>
          <w:bCs w:val="false"/>
          <w:u w:val="none"/>
          <w:rtl w:val="true"/>
        </w:rPr>
        <w:t xml:space="preserve">) </w:t>
      </w:r>
      <w:r>
        <w:rPr>
          <w:b w:val="false"/>
          <w:b w:val="false"/>
          <w:bCs w:val="false"/>
          <w:u w:val="none"/>
          <w:rtl w:val="true"/>
        </w:rPr>
        <w:t>שאותו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מבקשים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הצדדים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להאריך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הושת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עליו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בשנת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96</w:t>
      </w:r>
      <w:r>
        <w:rPr>
          <w:b w:val="false"/>
          <w:bCs w:val="false"/>
          <w:u w:val="none"/>
          <w:rtl w:val="true"/>
        </w:rPr>
        <w:t xml:space="preserve">'.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8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לפיכך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הנני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גוזרת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העונשים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הבאים</w:t>
      </w:r>
      <w:r>
        <w:rPr>
          <w:b w:val="false"/>
          <w:bCs w:val="false"/>
          <w:u w:val="none"/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1440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א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מוארך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18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חודשים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מת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פ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Cs w:val="false"/>
          <w:u w:val="none"/>
        </w:rPr>
        <w:t>304/96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בשנתיים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נוספות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hanging="720" w:start="1440"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קנס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בסך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35,000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rFonts w:eastAsia="David" w:ascii="David" w:hAnsi="David"/>
          <w:b w:val="false"/>
          <w:bCs w:val="false"/>
          <w:u w:val="none"/>
          <w:rtl w:val="true"/>
        </w:rPr>
        <w:t>₪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שישולם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Cs w:val="false"/>
          <w:u w:val="none"/>
        </w:rPr>
        <w:t>7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תשלומים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שווים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רצופים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וחודשיים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החל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מיום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15.3.04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לא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ישולם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הקנס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חלקו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במועדו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תעמוד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יתרתו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לפרעון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מיידי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ייאסר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למשך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7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חודשים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9</w:t>
      </w:r>
      <w:r>
        <w:rPr>
          <w:b w:val="false"/>
          <w:bCs w:val="false"/>
          <w:u w:val="none"/>
          <w:rtl w:val="true"/>
        </w:rPr>
        <w:t>.</w:t>
        <w:tab/>
      </w:r>
      <w:r>
        <w:rPr>
          <w:b w:val="false"/>
          <w:b w:val="false"/>
          <w:bCs w:val="false"/>
          <w:u w:val="none"/>
          <w:rtl w:val="true"/>
        </w:rPr>
        <w:t>זכות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ערעור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תוך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</w:rPr>
        <w:t>45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מהיום</w:t>
      </w:r>
      <w:r>
        <w:rPr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both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  <w:rtl w:val="true"/>
        </w:rPr>
      </w:r>
      <w:bookmarkStart w:id="18" w:name="Decision1"/>
      <w:bookmarkStart w:id="19" w:name="Decision1"/>
      <w:bookmarkEnd w:id="19"/>
    </w:p>
    <w:p>
      <w:pPr>
        <w:pStyle w:val="Heading1"/>
        <w:ind w:end="0"/>
        <w:jc w:val="start"/>
        <w:rPr>
          <w:b/>
          <w:bCs/>
          <w:sz w:val="24"/>
          <w:szCs w:val="24"/>
          <w:u w:val="none"/>
        </w:rPr>
      </w:pPr>
      <w:r>
        <w:rPr>
          <w:b/>
          <w:b/>
          <w:bCs/>
          <w:sz w:val="24"/>
          <w:sz w:val="24"/>
          <w:szCs w:val="24"/>
          <w:u w:val="none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באדר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תשס</w:t>
      </w:r>
      <w:r>
        <w:rPr>
          <w:b/>
          <w:bCs/>
          <w:sz w:val="24"/>
          <w:szCs w:val="24"/>
          <w:u w:val="non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Cs/>
          <w:sz w:val="24"/>
          <w:szCs w:val="24"/>
          <w:u w:val="none"/>
          <w:rtl w:val="true"/>
        </w:rPr>
        <w:t>(</w:t>
      </w:r>
      <w:r>
        <w:rPr>
          <w:b/>
          <w:bCs/>
          <w:sz w:val="24"/>
          <w:szCs w:val="24"/>
          <w:u w:val="none"/>
        </w:rPr>
        <w:t>24</w:t>
      </w:r>
      <w:r>
        <w:rPr>
          <w:b/>
          <w:bCs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בפברואר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Cs/>
          <w:sz w:val="24"/>
          <w:szCs w:val="24"/>
          <w:u w:val="none"/>
        </w:rPr>
        <w:t>2004</w:t>
      </w:r>
      <w:r>
        <w:rPr>
          <w:b/>
          <w:bCs/>
          <w:sz w:val="24"/>
          <w:szCs w:val="24"/>
          <w:u w:val="none"/>
          <w:rtl w:val="true"/>
        </w:rPr>
        <w:t xml:space="preserve">)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הצדדים</w:t>
      </w:r>
      <w:r>
        <w:rPr>
          <w:b/>
          <w:bCs/>
          <w:sz w:val="24"/>
          <w:szCs w:val="24"/>
          <w:u w:val="non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none"/>
          <w:rtl w:val="true"/>
        </w:rPr>
        <w:t>ב</w:t>
      </w:r>
    </w:p>
    <w:p>
      <w:pPr>
        <w:pStyle w:val="Normal"/>
        <w:ind w:end="0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Heading5"/>
              <w:ind w:end="0"/>
              <w:jc w:val="center"/>
              <w:rPr/>
            </w:pPr>
            <w:r>
              <w:rPr>
                <w:rtl w:val="true"/>
              </w:rPr>
              <w:t>נאוה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  <w:rtl w:val="true"/>
        </w:rPr>
      </w:r>
    </w:p>
    <w:p>
      <w:pPr>
        <w:pStyle w:val="Normal"/>
        <w:ind w:end="0"/>
        <w:jc w:val="both"/>
        <w:rPr>
          <w:b w:val="false"/>
          <w:bCs w:val="false"/>
          <w:sz w:val="20"/>
          <w:szCs w:val="20"/>
          <w:u w:val="none"/>
        </w:rPr>
      </w:pPr>
      <w:bookmarkStart w:id="20" w:name="Decision1"/>
      <w:bookmarkEnd w:id="20"/>
      <w:r>
        <w:rPr>
          <w:b w:val="false"/>
          <w:bCs w:val="false"/>
          <w:sz w:val="20"/>
          <w:szCs w:val="20"/>
          <w:u w:val="none"/>
        </w:rPr>
        <w:t>003105/02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פ</w:t>
      </w:r>
      <w:r>
        <w:rPr>
          <w:rFonts w:cs="Times New Roman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 </w:t>
      </w:r>
      <w:r>
        <w:rPr>
          <w:b w:val="false"/>
          <w:bCs w:val="false"/>
          <w:sz w:val="20"/>
          <w:szCs w:val="20"/>
          <w:u w:val="none"/>
        </w:rPr>
        <w:t>142</w:t>
      </w:r>
      <w:r>
        <w:rPr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מירי</w:t>
      </w:r>
      <w:r>
        <w:rPr>
          <w:rFonts w:cs="Times New Roman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ש</w:t>
      </w:r>
      <w:r>
        <w:rPr>
          <w:b w:val="false"/>
          <w:b w:val="false"/>
          <w:bCs w:val="false"/>
          <w:color w:val="FFFFFF"/>
          <w:sz w:val="4"/>
          <w:sz w:val="4"/>
          <w:szCs w:val="4"/>
          <w:u w:val="none"/>
          <w:rtl w:val="true"/>
        </w:rPr>
        <w:t>ונבונבונבונבונבו</w:t>
      </w:r>
      <w:r>
        <w:rPr>
          <w:b w:val="false"/>
          <w:bCs w:val="false"/>
          <w:sz w:val="20"/>
          <w:szCs w:val="20"/>
          <w:u w:val="none"/>
          <w:rtl w:val="true"/>
        </w:rPr>
        <w:t>.</w:t>
      </w:r>
      <w:r>
        <w:rPr>
          <w:b w:val="false"/>
          <w:b w:val="false"/>
          <w:bCs w:val="false"/>
          <w:color w:val="FFFFFF"/>
          <w:sz w:val="4"/>
          <w:sz w:val="4"/>
          <w:szCs w:val="4"/>
          <w:u w:val="none"/>
          <w:rtl w:val="true"/>
        </w:rPr>
        <w:t>נ</w:t>
      </w:r>
    </w:p>
    <w:p>
      <w:pPr>
        <w:pStyle w:val="Normal"/>
        <w:ind w:end="0"/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נוסח</w:t>
      </w:r>
      <w:r>
        <w:rPr>
          <w:rFonts w:cs="Times New Roman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מסמך</w:t>
      </w:r>
      <w:r>
        <w:rPr>
          <w:rFonts w:cs="Times New Roman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זה</w:t>
      </w:r>
      <w:r>
        <w:rPr>
          <w:rFonts w:cs="Times New Roman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כפוף</w:t>
      </w:r>
      <w:r>
        <w:rPr>
          <w:rFonts w:cs="Times New Roman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לשינויי</w:t>
      </w:r>
      <w:r>
        <w:rPr>
          <w:rFonts w:cs="Times New Roman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ניסוח</w:t>
      </w:r>
      <w:r>
        <w:rPr>
          <w:rFonts w:cs="Times New Roman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/Users/liorb/Downloads/study2025-p2/s02003105-284.doc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כ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ס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3105/02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ג</w:t>
    </w:r>
    <w:r>
      <w:rPr>
        <w:rFonts w:cs="David"/>
        <w:color w:val="000000"/>
        <w:szCs w:val="22"/>
        <w:rtl w:val="true"/>
      </w:rPr>
      <w:t>'</w:t>
    </w:r>
    <w:r>
      <w:rPr>
        <w:color w:val="000000"/>
        <w:szCs w:val="22"/>
        <w:rtl w:val="true"/>
      </w:rPr>
      <w:t>אבר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בן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עבד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לטיף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ריאל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b/>
      <w:bCs/>
      <w:color w:val="auto"/>
      <w:sz w:val="22"/>
      <w:szCs w:val="24"/>
      <w:u w:val="single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 w:val="false"/>
      <w:bCs w:val="false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 w:val="false"/>
      <w:bCs w:val="false"/>
      <w:sz w:val="24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 w:val="false"/>
      <w:bCs w:val="fals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color w:val="FFFFFF"/>
      <w:u w:val="non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u w:val="non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color w:val="FF0000"/>
      <w:sz w:val="40"/>
      <w:szCs w:val="40"/>
      <w:u w:val="non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ind w:hanging="0" w:start="0" w:end="0"/>
      <w:jc w:val="both"/>
    </w:pPr>
    <w:rPr>
      <w:b w:val="false"/>
      <w:bCs w:val="false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2004-10-21T08:08:00Z</dcterms:created>
  <dc:creator> </dc:creator>
  <dc:description/>
  <dc:language>en-IL</dc:language>
  <cp:lastModifiedBy>nevo</cp:lastModifiedBy>
  <cp:lastPrinted>2004-01-15T11:30:00Z</cp:lastPrinted>
  <dcterms:modified xsi:type="dcterms:W3CDTF">2004-10-21T09:46:00Z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ג'אבר בן עבד אל לטיף ריאל</vt:lpwstr>
  </property>
  <property fmtid="{D5CDD505-2E9C-101B-9397-08002B2CF9AE}" pid="4" name="CITY">
    <vt:lpwstr>כ"ס</vt:lpwstr>
  </property>
  <property fmtid="{D5CDD505-2E9C-101B-9397-08002B2CF9AE}" pid="5" name="DATE">
    <vt:lpwstr>20040224</vt:lpwstr>
  </property>
  <property fmtid="{D5CDD505-2E9C-101B-9397-08002B2CF9AE}" pid="6" name="ISABSTRACT">
    <vt:lpwstr>Y</vt:lpwstr>
  </property>
  <property fmtid="{D5CDD505-2E9C-101B-9397-08002B2CF9AE}" pid="7" name="JUDGE">
    <vt:lpwstr>נאוה בכור</vt:lpwstr>
  </property>
  <property fmtid="{D5CDD505-2E9C-101B-9397-08002B2CF9AE}" pid="8" name="LAWYER">
    <vt:lpwstr>אפרת פאר;שוורצברג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3105</vt:lpwstr>
  </property>
  <property fmtid="{D5CDD505-2E9C-101B-9397-08002B2CF9AE}" pid="26" name="PROCYEAR">
    <vt:lpwstr>02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