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35"/>
        <w:gridCol w:w="433"/>
        <w:gridCol w:w="872"/>
        <w:gridCol w:w="517"/>
        <w:gridCol w:w="5045"/>
      </w:tblGrid>
      <w:tr>
        <w:trPr>
          <w:trHeight w:val="418" w:hRule="exact"/>
        </w:trPr>
        <w:tc>
          <w:tcPr>
            <w:tcW w:w="3757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935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12695-02-09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דענא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3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389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26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0" w:name="FirstAppellant"/>
            <w:bookmarkStart w:id="1" w:name="FirstAppellant"/>
            <w:bookmarkEnd w:id="1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</w:rPr>
              <w:t>2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דניל קוקס 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&gt;&lt;&gt;&gt;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Style w:val="LineNumber"/>
          <w:rFonts w:ascii="Arial" w:hAnsi="Arial" w:cs="David"/>
          <w:szCs w:val="24"/>
        </w:rPr>
      </w:pPr>
      <w:r>
        <w:rPr>
          <w:rFonts w:cs="Arial"/>
          <w:rtl w:val="true"/>
        </w:rPr>
      </w:r>
    </w:p>
    <w:p>
      <w:pPr>
        <w:pStyle w:val="Normal"/>
        <w:ind w:end="0"/>
        <w:jc w:val="start"/>
        <w:rPr>
          <w:rStyle w:val="LineNumber"/>
          <w:rFonts w:ascii="Arial" w:hAnsi="Arial" w:cs="David"/>
          <w:sz w:val="6"/>
          <w:szCs w:val="6"/>
        </w:rPr>
      </w:pPr>
      <w:r>
        <w:rPr>
          <w:rStyle w:val="LineNumber"/>
          <w:rFonts w:cs="David" w:ascii="Arial" w:hAnsi="Arial"/>
          <w:sz w:val="6"/>
          <w:szCs w:val="6"/>
          <w:rtl w:val="true"/>
        </w:rPr>
        <w:t>&lt;</w:t>
      </w:r>
      <w:r>
        <w:rPr>
          <w:rStyle w:val="LineNumber"/>
          <w:rFonts w:cs="David" w:ascii="Arial" w:hAnsi="Arial"/>
          <w:sz w:val="6"/>
          <w:szCs w:val="6"/>
        </w:rPr>
        <w:t>#2#</w:t>
      </w:r>
      <w:r>
        <w:rPr>
          <w:rStyle w:val="LineNumber"/>
          <w:rFonts w:cs="David" w:ascii="Arial" w:hAnsi="Arial"/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ליאת פלג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&lt;&lt;</w:t>
      </w: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–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vanish/>
          <w:highlight w:val="yellow"/>
          <w:u w:val="none"/>
          <w:rtl w:val="true"/>
        </w:rPr>
        <w:t>&lt;&gt;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ארקדי דוברונסקי</w:t>
      </w:r>
      <w:r>
        <w:rPr>
          <w:vanish/>
          <w:highlight w:val="yellow"/>
          <w:u w:val="none"/>
          <w:rtl w:val="true"/>
        </w:rPr>
        <w:t>&gt;&gt;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–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הובא על ידי 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ס</w:t>
      </w:r>
    </w:p>
    <w:p>
      <w:pPr>
        <w:pStyle w:val="Normal"/>
        <w:spacing w:lineRule="auto" w:line="360"/>
        <w:ind w:end="0"/>
        <w:jc w:val="center"/>
        <w:rPr>
          <w:rFonts w:ascii="Times New Roman" w:hAnsi="Times New Roman" w:cs="Times New Roman"/>
          <w:b/>
          <w:bCs/>
          <w:u w:val="none"/>
        </w:rPr>
      </w:pPr>
      <w:r>
        <w:rPr>
          <w:rFonts w:cs="Times New Roman" w:ascii="Times New Roman" w:hAnsi="Times New Roman"/>
          <w:b/>
          <w:bCs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(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בעניינו של הנאשם </w:t>
      </w:r>
      <w:r>
        <w:rPr>
          <w:rFonts w:cs="Arial" w:ascii="Arial" w:hAnsi="Arial"/>
          <w:b/>
          <w:bCs/>
          <w:sz w:val="28"/>
          <w:szCs w:val="28"/>
          <w:u w:val="single"/>
        </w:rPr>
        <w:t>2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bookmarkStart w:id="5" w:name="ABSTRACT_START"/>
      <w:bookmarkEnd w:id="5"/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1990</w:t>
      </w:r>
      <w:r>
        <w:rPr>
          <w:rtl w:val="true"/>
        </w:rPr>
        <w:t xml:space="preserve">, </w:t>
      </w:r>
      <w:r>
        <w:rPr>
          <w:rtl w:val="true"/>
        </w:rPr>
        <w:t>הורשע על פי הודאתו בכתב האישום המתוקן בעבירות של קשר לפשע</w:t>
      </w:r>
      <w:r>
        <w:rPr>
          <w:rtl w:val="true"/>
        </w:rPr>
        <w:t xml:space="preserve">, </w:t>
      </w:r>
      <w:r>
        <w:rPr>
          <w:rtl w:val="true"/>
        </w:rPr>
        <w:t>שוד בחבורה והחזקת נשק</w:t>
      </w:r>
      <w:r>
        <w:rPr>
          <w:rtl w:val="true"/>
        </w:rPr>
        <w:t xml:space="preserve">. </w:t>
      </w:r>
      <w:r>
        <w:rPr>
          <w:rtl w:val="true"/>
        </w:rPr>
        <w:t xml:space="preserve">מתברר כי ביום </w:t>
      </w:r>
      <w:r>
        <w:rPr/>
        <w:t>20.12.08</w:t>
      </w:r>
      <w:r>
        <w:rPr>
          <w:rtl w:val="true"/>
        </w:rPr>
        <w:t xml:space="preserve">, </w:t>
      </w:r>
      <w:r>
        <w:rPr>
          <w:rtl w:val="true"/>
        </w:rPr>
        <w:t>בשעת חצות לערך</w:t>
      </w:r>
      <w:r>
        <w:rPr>
          <w:rtl w:val="true"/>
        </w:rPr>
        <w:t xml:space="preserve">, </w:t>
      </w:r>
      <w:r>
        <w:rPr>
          <w:rtl w:val="true"/>
        </w:rPr>
        <w:t>הבחינו הוא וחברו במתלונן השוהה ברכבו באחד הרחובות בראשון לציון</w:t>
      </w:r>
      <w:r>
        <w:rPr>
          <w:rtl w:val="true"/>
        </w:rPr>
        <w:t xml:space="preserve">, </w:t>
      </w:r>
      <w:r>
        <w:rPr>
          <w:rtl w:val="true"/>
        </w:rPr>
        <w:t>כשהוא שתוי והרכב מפריע לתנועה</w:t>
      </w:r>
      <w:r>
        <w:rPr>
          <w:rtl w:val="true"/>
        </w:rPr>
        <w:t xml:space="preserve">. </w:t>
      </w:r>
      <w:r>
        <w:rPr>
          <w:rtl w:val="true"/>
        </w:rPr>
        <w:t>הנאשם ניגש לרכב והזיזו ולאחר מכן סיפר על מצבו של המתלונן לחברו</w:t>
      </w:r>
      <w:r>
        <w:rPr>
          <w:rtl w:val="true"/>
        </w:rPr>
        <w:t xml:space="preserve">, </w:t>
      </w:r>
      <w:r>
        <w:rPr>
          <w:rtl w:val="true"/>
        </w:rPr>
        <w:t>אשר הזעיק חבר נוסף</w:t>
      </w:r>
      <w:r>
        <w:rPr>
          <w:rtl w:val="true"/>
        </w:rPr>
        <w:t xml:space="preserve">. </w:t>
      </w:r>
      <w:r>
        <w:rPr>
          <w:rtl w:val="true"/>
        </w:rPr>
        <w:t xml:space="preserve">אלה 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בשלב הזה ביקשו השלושה לנצל את מצבו של המתלונן וזממו לשדוד אותו</w:t>
      </w:r>
      <w:r>
        <w:rPr>
          <w:rtl w:val="true"/>
        </w:rPr>
        <w:t xml:space="preserve">. </w:t>
      </w:r>
      <w:r>
        <w:rPr>
          <w:rtl w:val="true"/>
        </w:rPr>
        <w:t>לצורך כך הוציאהו מן הרכב בכוח והכהו בכל חלקי גופו</w:t>
      </w:r>
      <w:r>
        <w:rPr>
          <w:rtl w:val="true"/>
        </w:rPr>
        <w:t xml:space="preserve">, </w:t>
      </w:r>
      <w:r>
        <w:rPr>
          <w:rtl w:val="true"/>
        </w:rPr>
        <w:t>בידיהם וברגליהם עד אשר איבד את הכרתו</w:t>
      </w:r>
      <w:r>
        <w:rPr>
          <w:rtl w:val="true"/>
        </w:rPr>
        <w:t xml:space="preserve">. </w:t>
      </w:r>
      <w:r>
        <w:rPr>
          <w:rtl w:val="true"/>
        </w:rPr>
        <w:t>כתוצאה מן האלימות שנקטו השלושה</w:t>
      </w:r>
      <w:r>
        <w:rPr>
          <w:rtl w:val="true"/>
        </w:rPr>
        <w:t xml:space="preserve">, </w:t>
      </w:r>
      <w:r>
        <w:rPr>
          <w:rtl w:val="true"/>
        </w:rPr>
        <w:t>נגרם למתלונן זעזוע מוח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 מכן שדדו ממנו אקדח עם מחסנית ותחמושת</w:t>
      </w:r>
      <w:r>
        <w:rPr>
          <w:rtl w:val="true"/>
        </w:rPr>
        <w:t xml:space="preserve">, </w:t>
      </w:r>
      <w:r>
        <w:rPr>
          <w:rtl w:val="true"/>
        </w:rPr>
        <w:t>מכשיר סלולרי</w:t>
      </w:r>
      <w:r>
        <w:rPr>
          <w:rtl w:val="true"/>
        </w:rPr>
        <w:t xml:space="preserve">, </w:t>
      </w:r>
      <w:r>
        <w:rPr>
          <w:rtl w:val="true"/>
        </w:rPr>
        <w:t>תיק וצמיד</w:t>
      </w:r>
      <w:r>
        <w:rPr>
          <w:rtl w:val="true"/>
        </w:rPr>
        <w:t xml:space="preserve">. </w:t>
      </w:r>
      <w:r>
        <w:rPr>
          <w:rtl w:val="true"/>
        </w:rPr>
        <w:t>אחרי שנמלטו מן המקום</w:t>
      </w:r>
      <w:r>
        <w:rPr>
          <w:rtl w:val="true"/>
        </w:rPr>
        <w:t xml:space="preserve">, </w:t>
      </w:r>
      <w:r>
        <w:rPr>
          <w:rtl w:val="true"/>
        </w:rPr>
        <w:t>נטל אחד החברים את האקדח ולאחר מכן מכרו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והאחר נטלו את המכשיר הסלולרי</w:t>
      </w:r>
      <w:r>
        <w:rPr>
          <w:rtl w:val="true"/>
        </w:rPr>
        <w:t xml:space="preserve">. </w:t>
      </w:r>
      <w:r>
        <w:rPr>
          <w:rtl w:val="true"/>
        </w:rPr>
        <w:t>השלושה חלקו בשלל השוד</w:t>
      </w:r>
      <w:r>
        <w:rPr>
          <w:rtl w:val="true"/>
        </w:rPr>
        <w:t>,</w:t>
      </w:r>
      <w:r>
        <w:rPr>
          <w:rtl w:val="true"/>
        </w:rPr>
        <w:t>לאחר שגם המכשיר נמכר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הוגש תסקיר בעבור הנאשם ממנו מתברר כי הוא ביצע את המעשים במהלך חופשה משירותו הצבאי</w:t>
      </w:r>
      <w:r>
        <w:rPr>
          <w:rtl w:val="true"/>
        </w:rPr>
        <w:t xml:space="preserve">, </w:t>
      </w:r>
      <w:r>
        <w:rPr>
          <w:rtl w:val="true"/>
        </w:rPr>
        <w:t>בעת שהיה בטירונות תוך כדי זה שביצע עריקות</w:t>
      </w:r>
      <w:r>
        <w:rPr>
          <w:rtl w:val="true"/>
        </w:rPr>
        <w:t xml:space="preserve">. </w:t>
      </w:r>
      <w:r>
        <w:rPr>
          <w:rtl w:val="true"/>
        </w:rPr>
        <w:t xml:space="preserve">משפחתו היא משפחה שעלתה ארצה מאוקראינה בשנת </w:t>
      </w:r>
      <w:r>
        <w:rPr/>
        <w:t>1999</w:t>
      </w:r>
      <w:r>
        <w:rPr>
          <w:rtl w:val="true"/>
        </w:rPr>
        <w:t xml:space="preserve">. </w:t>
      </w:r>
      <w:r>
        <w:rPr>
          <w:rtl w:val="true"/>
        </w:rPr>
        <w:t>התסקיר מספר על הבעייתיות והקשיים שהיו מנת חלקו של הנאשם</w:t>
      </w:r>
      <w:r>
        <w:rPr>
          <w:rtl w:val="true"/>
        </w:rPr>
        <w:t xml:space="preserve">, </w:t>
      </w:r>
      <w:r>
        <w:rPr>
          <w:rtl w:val="true"/>
        </w:rPr>
        <w:t>שלחובתו אין הרשעות קודמות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לפני קצינת המבחן נטל הנאשם אחריות חלקית על מעשיו וסיפר כיצד פעל בהעדר שיקול דעת</w:t>
      </w:r>
      <w:r>
        <w:rPr>
          <w:rtl w:val="true"/>
        </w:rPr>
        <w:t xml:space="preserve">. </w:t>
      </w:r>
      <w:r>
        <w:rPr>
          <w:rtl w:val="true"/>
        </w:rPr>
        <w:t>הוא הביע צער וחרטה על הפגיעה במתלונן וסיפר כי שתה אלכוהול בגינה</w:t>
      </w:r>
      <w:r>
        <w:rPr>
          <w:rtl w:val="true"/>
        </w:rPr>
        <w:t xml:space="preserve">, </w:t>
      </w:r>
      <w:r>
        <w:rPr>
          <w:rtl w:val="true"/>
        </w:rPr>
        <w:t>לפני ביצוע המעשה</w:t>
      </w:r>
      <w:r>
        <w:rPr>
          <w:rtl w:val="true"/>
        </w:rPr>
        <w:t xml:space="preserve">, </w:t>
      </w:r>
      <w:r>
        <w:rPr>
          <w:rtl w:val="true"/>
        </w:rPr>
        <w:t>יחד עם חברו</w:t>
      </w:r>
      <w:r>
        <w:rPr>
          <w:rtl w:val="true"/>
        </w:rPr>
        <w:t xml:space="preserve">. </w:t>
      </w:r>
      <w:r>
        <w:rPr>
          <w:rtl w:val="true"/>
        </w:rPr>
        <w:t>בכלא גילה קשיי הסתגלות למעצרו וחש שלא בנוח לשתף אחרים בתכנים הקשורים למצבו הנפשי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קצינת המבחן העריכה כי הנאשם מתקשה בחשיפה ובמתן אמון באחרים ועל כן</w:t>
      </w:r>
      <w:r>
        <w:rPr>
          <w:rtl w:val="true"/>
        </w:rPr>
        <w:t xml:space="preserve">, </w:t>
      </w:r>
      <w:r>
        <w:rPr>
          <w:rtl w:val="true"/>
        </w:rPr>
        <w:t>בהעדר בשלות להתערבות טיפולית</w:t>
      </w:r>
      <w:r>
        <w:rPr>
          <w:rtl w:val="true"/>
        </w:rPr>
        <w:t xml:space="preserve">, </w:t>
      </w:r>
      <w:r>
        <w:rPr>
          <w:rtl w:val="true"/>
        </w:rPr>
        <w:t>לא באה בהמלצה אודותיו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באי כוח הצדדים הגיעו להסדר טיעון הנוגע גם לענישה המוצעת</w:t>
      </w:r>
      <w:r>
        <w:rPr>
          <w:rtl w:val="true"/>
        </w:rPr>
        <w:t xml:space="preserve">. </w:t>
      </w:r>
      <w:r>
        <w:rPr>
          <w:rtl w:val="true"/>
        </w:rPr>
        <w:t>באת כוח התביעה הציעה לענוש את הנאשם בשנת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במאסר על תנאי ובפיצוי בסכום של </w:t>
      </w:r>
      <w:r>
        <w:rPr/>
        <w:t>1500</w:t>
      </w:r>
      <w:r>
        <w:rPr>
          <w:rtl w:val="true"/>
        </w:rPr>
        <w:t xml:space="preserve"> ₪, </w:t>
      </w:r>
      <w:r>
        <w:rPr>
          <w:rtl w:val="true"/>
        </w:rPr>
        <w:t>שכבר הופקד במזכירות</w:t>
      </w:r>
      <w:r>
        <w:rPr>
          <w:rtl w:val="true"/>
        </w:rPr>
        <w:t xml:space="preserve">. </w:t>
      </w:r>
      <w:r>
        <w:rPr>
          <w:rtl w:val="true"/>
        </w:rPr>
        <w:t>בטיעוניה עמדה על נסיבות המקרה ועל הפעלת האלימות הקשה כנגד המתלונן</w:t>
      </w:r>
      <w:r>
        <w:rPr>
          <w:rtl w:val="true"/>
        </w:rPr>
        <w:t xml:space="preserve">, </w:t>
      </w:r>
      <w:r>
        <w:rPr>
          <w:rtl w:val="true"/>
        </w:rPr>
        <w:t>תוך ניצול מצבו באותה עת</w:t>
      </w:r>
      <w:r>
        <w:rPr>
          <w:rtl w:val="true"/>
        </w:rPr>
        <w:t xml:space="preserve">. </w:t>
      </w:r>
      <w:r>
        <w:rPr>
          <w:rtl w:val="true"/>
        </w:rPr>
        <w:t>לדעתה עונש המאסר שעתרה לו הוא העונש הראוי</w:t>
      </w:r>
      <w:r>
        <w:rPr>
          <w:rtl w:val="true"/>
        </w:rPr>
        <w:t xml:space="preserve">, </w:t>
      </w:r>
      <w:r>
        <w:rPr>
          <w:rtl w:val="true"/>
        </w:rPr>
        <w:t>בנסיבות הכוללות מתוך זה שהמאשימה התחשבה כבר בנאשם</w:t>
      </w:r>
      <w:r>
        <w:rPr>
          <w:rtl w:val="true"/>
        </w:rPr>
        <w:t xml:space="preserve">, </w:t>
      </w:r>
      <w:r>
        <w:rPr>
          <w:rtl w:val="true"/>
        </w:rPr>
        <w:t>בהודייתו</w:t>
      </w:r>
      <w:r>
        <w:rPr>
          <w:rtl w:val="true"/>
        </w:rPr>
        <w:t xml:space="preserve">, </w:t>
      </w:r>
      <w:r>
        <w:rPr>
          <w:rtl w:val="true"/>
        </w:rPr>
        <w:t>בחסכון בזמן השיפוטי כולל בצורך להביא עדים וכן בנסיבותיו האישיות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עמד על הנסיבות האישיות של הנאשם ועל האירוע עצמו</w:t>
      </w:r>
      <w:r>
        <w:rPr>
          <w:rtl w:val="true"/>
        </w:rPr>
        <w:t xml:space="preserve">, </w:t>
      </w:r>
      <w:r>
        <w:rPr>
          <w:rtl w:val="true"/>
        </w:rPr>
        <w:t>שתוך שסבר כי חלקו של הנאשם לא היה מרכזי בהפעלת האלימות והוא אף לא נטל את האקדח כדי למוכרו</w:t>
      </w:r>
      <w:r>
        <w:rPr>
          <w:rtl w:val="true"/>
        </w:rPr>
        <w:t xml:space="preserve">. </w:t>
      </w:r>
      <w:r>
        <w:rPr>
          <w:rtl w:val="true"/>
        </w:rPr>
        <w:t>הוא הפנה לפסיקה המתאימה לדעתו  לנסיבות אלה</w:t>
      </w:r>
      <w:r>
        <w:rPr>
          <w:rtl w:val="true"/>
        </w:rPr>
        <w:t xml:space="preserve">, </w:t>
      </w:r>
      <w:r>
        <w:rPr>
          <w:rtl w:val="true"/>
        </w:rPr>
        <w:t>שבה גזרו בתי המשפט עונשי מאסר בפועל לריצוי בעבודות שירות</w:t>
      </w:r>
      <w:r>
        <w:rPr>
          <w:rtl w:val="true"/>
        </w:rPr>
        <w:t xml:space="preserve">. </w:t>
      </w:r>
      <w:r>
        <w:rPr>
          <w:rtl w:val="true"/>
        </w:rPr>
        <w:t>על כן ביקש שלא להחמיר עם הנאשם וכדי לאפשר לו המשך שירותו בצבא</w:t>
      </w:r>
      <w:r>
        <w:rPr>
          <w:rtl w:val="true"/>
        </w:rPr>
        <w:t xml:space="preserve">, </w:t>
      </w:r>
      <w:r>
        <w:rPr>
          <w:rtl w:val="true"/>
        </w:rPr>
        <w:t>הציע להסתפק במאסר מותנה</w:t>
      </w:r>
      <w:r>
        <w:rPr>
          <w:rtl w:val="true"/>
        </w:rPr>
        <w:t xml:space="preserve">. </w:t>
      </w:r>
      <w:r>
        <w:rPr>
          <w:rtl w:val="true"/>
        </w:rPr>
        <w:t>לכל היותר סבר כי ראוי להטיל עליו מאסר בפועל שיאפשר לו לרצותו בעבודות 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קשה שלא להתרשם מן החומרה היחסית שבמקרה זה</w:t>
      </w:r>
      <w:r>
        <w:rPr>
          <w:rtl w:val="true"/>
        </w:rPr>
        <w:t xml:space="preserve">. </w:t>
      </w:r>
      <w:r>
        <w:rPr>
          <w:rtl w:val="true"/>
        </w:rPr>
        <w:t>הנאשם ושני חבריו שודדים אדם שתוי ונוקטים כנגדו אלימות קשה</w:t>
      </w:r>
      <w:r>
        <w:rPr>
          <w:rtl w:val="true"/>
        </w:rPr>
        <w:t xml:space="preserve">, </w:t>
      </w:r>
      <w:r>
        <w:rPr>
          <w:rtl w:val="true"/>
        </w:rPr>
        <w:t>יחסית</w:t>
      </w:r>
      <w:r>
        <w:rPr>
          <w:rtl w:val="true"/>
        </w:rPr>
        <w:t xml:space="preserve">. </w:t>
      </w:r>
      <w:r>
        <w:rPr>
          <w:rtl w:val="true"/>
        </w:rPr>
        <w:t>הם הולמים בו בכל חלקי גופו בידיהם וברגליהם וגם כאשר הוא נופל ארצה</w:t>
      </w:r>
      <w:r>
        <w:rPr>
          <w:rtl w:val="true"/>
        </w:rPr>
        <w:t xml:space="preserve">, </w:t>
      </w:r>
      <w:r>
        <w:rPr>
          <w:rtl w:val="true"/>
        </w:rPr>
        <w:t>הם אינם חסים עליו וממשיכים להכותו בראשו  באמצעות רגליהם עד אשר איבד את הכרתו</w:t>
      </w:r>
      <w:r>
        <w:rPr>
          <w:rtl w:val="true"/>
        </w:rPr>
        <w:t xml:space="preserve">. </w:t>
      </w:r>
      <w:r>
        <w:rPr>
          <w:rtl w:val="true"/>
        </w:rPr>
        <w:t>כתוצאה מן האלימות הזו נגרם למתלונן זעזוע מוח</w:t>
      </w:r>
      <w:r>
        <w:rPr>
          <w:rtl w:val="true"/>
        </w:rPr>
        <w:t xml:space="preserve">. </w:t>
      </w:r>
      <w:r>
        <w:rPr>
          <w:rtl w:val="true"/>
        </w:rPr>
        <w:t>השלושה נוטלים את רכושו</w:t>
      </w:r>
      <w:r>
        <w:rPr>
          <w:rtl w:val="true"/>
        </w:rPr>
        <w:t xml:space="preserve">, </w:t>
      </w:r>
      <w:r>
        <w:rPr>
          <w:rtl w:val="true"/>
        </w:rPr>
        <w:t>דואגים למוכרו</w:t>
      </w:r>
      <w:r>
        <w:rPr>
          <w:rtl w:val="true"/>
        </w:rPr>
        <w:t xml:space="preserve">, </w:t>
      </w:r>
      <w:r>
        <w:rPr>
          <w:rtl w:val="true"/>
        </w:rPr>
        <w:t>כולל האקדח</w:t>
      </w:r>
      <w:r>
        <w:rPr>
          <w:rtl w:val="true"/>
        </w:rPr>
        <w:t xml:space="preserve">, </w:t>
      </w:r>
      <w:r>
        <w:rPr>
          <w:rtl w:val="true"/>
        </w:rPr>
        <w:t>וחולקים בשלל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 ספק גם אם הודה הנאשם וגם אם נסיבותיו האישיות הן כאלה כפי שתיאר התסקיר</w:t>
      </w:r>
      <w:r>
        <w:rPr>
          <w:rtl w:val="true"/>
        </w:rPr>
        <w:t xml:space="preserve">, </w:t>
      </w:r>
      <w:r>
        <w:rPr>
          <w:rtl w:val="true"/>
        </w:rPr>
        <w:t>אי אפשר להסתפק בסוג הענישה שהוצעה על ידי ההגנה</w:t>
      </w:r>
      <w:r>
        <w:rPr>
          <w:rtl w:val="true"/>
        </w:rPr>
        <w:t xml:space="preserve">, </w:t>
      </w:r>
      <w:r>
        <w:rPr>
          <w:rtl w:val="true"/>
        </w:rPr>
        <w:t>לא כל שכן במאסר מותנה בלבד</w:t>
      </w:r>
      <w:r>
        <w:rPr>
          <w:rtl w:val="true"/>
        </w:rPr>
        <w:t xml:space="preserve">. </w:t>
      </w:r>
      <w:r>
        <w:rPr>
          <w:rtl w:val="true"/>
        </w:rPr>
        <w:t>האלימות פשתה בחברתנו כנגע רע בשנים האחרונות</w:t>
      </w:r>
      <w:r>
        <w:rPr>
          <w:rtl w:val="true"/>
        </w:rPr>
        <w:t xml:space="preserve">. </w:t>
      </w:r>
      <w:r>
        <w:rPr>
          <w:rtl w:val="true"/>
        </w:rPr>
        <w:t>יד איש ברעהו</w:t>
      </w:r>
      <w:r>
        <w:rPr>
          <w:rtl w:val="true"/>
        </w:rPr>
        <w:t xml:space="preserve">, </w:t>
      </w:r>
      <w:r>
        <w:rPr>
          <w:rtl w:val="true"/>
        </w:rPr>
        <w:t>על רקע של מה בכך</w:t>
      </w:r>
      <w:r>
        <w:rPr>
          <w:rtl w:val="true"/>
        </w:rPr>
        <w:t xml:space="preserve">. </w:t>
      </w:r>
      <w:r>
        <w:rPr>
          <w:rtl w:val="true"/>
        </w:rPr>
        <w:t>סכסוכים פעוטים מגיעים לכלל הפעלת כוח ברוטאלית ועד כדי תוצאות קשות</w:t>
      </w:r>
      <w:r>
        <w:rPr>
          <w:rtl w:val="true"/>
        </w:rPr>
        <w:t xml:space="preserve">. </w:t>
      </w:r>
      <w:r>
        <w:rPr>
          <w:rtl w:val="true"/>
        </w:rPr>
        <w:t>כאן מדובר בהפעלת אלימות תוך כדי מעשה שוד</w:t>
      </w:r>
      <w:r>
        <w:rPr>
          <w:rtl w:val="true"/>
        </w:rPr>
        <w:t xml:space="preserve">, </w:t>
      </w:r>
      <w:r>
        <w:rPr>
          <w:rtl w:val="true"/>
        </w:rPr>
        <w:t>שתוכנן בשעת מעשה או קרוב אליו</w:t>
      </w:r>
      <w:r>
        <w:rPr>
          <w:rtl w:val="true"/>
        </w:rPr>
        <w:t xml:space="preserve">, </w:t>
      </w:r>
      <w:r>
        <w:rPr>
          <w:rtl w:val="true"/>
        </w:rPr>
        <w:t>אף כי לא היה תכנון מוקדם לשוד</w:t>
      </w:r>
      <w:r>
        <w:rPr>
          <w:rtl w:val="true"/>
        </w:rPr>
        <w:t xml:space="preserve">, </w:t>
      </w:r>
      <w:r>
        <w:rPr>
          <w:rtl w:val="true"/>
        </w:rPr>
        <w:t>שהרי הנאשם הבחין במתלונן במקום</w:t>
      </w:r>
      <w:r>
        <w:rPr>
          <w:rtl w:val="true"/>
        </w:rPr>
        <w:t xml:space="preserve">, </w:t>
      </w:r>
      <w:r>
        <w:rPr>
          <w:rtl w:val="true"/>
        </w:rPr>
        <w:t>באקראי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 חפצים אנו למגר את תופעות האלימות למיניהם</w:t>
      </w:r>
      <w:r>
        <w:rPr>
          <w:rtl w:val="true"/>
        </w:rPr>
        <w:t xml:space="preserve">, </w:t>
      </w:r>
      <w:r>
        <w:rPr>
          <w:rtl w:val="true"/>
        </w:rPr>
        <w:t>כולל את מעשי השוד</w:t>
      </w:r>
      <w:r>
        <w:rPr>
          <w:rtl w:val="true"/>
        </w:rPr>
        <w:t xml:space="preserve">, </w:t>
      </w:r>
      <w:r>
        <w:rPr>
          <w:rtl w:val="true"/>
        </w:rPr>
        <w:t>שגם הם הפכו</w:t>
      </w:r>
      <w:r>
        <w:rPr>
          <w:rtl w:val="true"/>
        </w:rPr>
        <w:t xml:space="preserve">, </w:t>
      </w:r>
      <w:r>
        <w:rPr>
          <w:rtl w:val="true"/>
        </w:rPr>
        <w:t>למרבית הצער</w:t>
      </w:r>
      <w:r>
        <w:rPr>
          <w:rtl w:val="true"/>
        </w:rPr>
        <w:t xml:space="preserve">, </w:t>
      </w:r>
      <w:r>
        <w:rPr>
          <w:rtl w:val="true"/>
        </w:rPr>
        <w:t>לתופעה נפוצה</w:t>
      </w:r>
      <w:r>
        <w:rPr>
          <w:rtl w:val="true"/>
        </w:rPr>
        <w:t xml:space="preserve">, </w:t>
      </w:r>
      <w:r>
        <w:rPr>
          <w:rtl w:val="true"/>
        </w:rPr>
        <w:t>חייבים אנו להחמיר בענישתם של עבריינים אלה</w:t>
      </w:r>
      <w:r>
        <w:rPr>
          <w:rtl w:val="true"/>
        </w:rPr>
        <w:t xml:space="preserve">. </w:t>
      </w:r>
      <w:r>
        <w:rPr>
          <w:rtl w:val="true"/>
        </w:rPr>
        <w:t>וההחמרה צריכה להתבטא בהטלת עונשי מאסר בפועל ממשים</w:t>
      </w:r>
      <w:r>
        <w:rPr>
          <w:rtl w:val="true"/>
        </w:rPr>
        <w:t xml:space="preserve">. </w:t>
      </w:r>
      <w:r>
        <w:rPr>
          <w:rtl w:val="true"/>
        </w:rPr>
        <w:t>בדרך הזו נוכל להרתיע את העבריינים עצמם ואחרים</w:t>
      </w:r>
      <w:r>
        <w:rPr>
          <w:rtl w:val="true"/>
        </w:rPr>
        <w:t xml:space="preserve">, </w:t>
      </w:r>
      <w:r>
        <w:rPr>
          <w:rtl w:val="true"/>
        </w:rPr>
        <w:t>כדי שלא יהינו לבצע בעתיד</w:t>
      </w:r>
      <w:r>
        <w:rPr>
          <w:rtl w:val="true"/>
        </w:rPr>
        <w:t xml:space="preserve">, </w:t>
      </w:r>
      <w:r>
        <w:rPr>
          <w:rtl w:val="true"/>
        </w:rPr>
        <w:t>מעשים כאלה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העונש המוצע על ידי התביעה איננו מופרז</w:t>
      </w:r>
      <w:r>
        <w:rPr>
          <w:rtl w:val="true"/>
        </w:rPr>
        <w:t xml:space="preserve">. </w:t>
      </w:r>
      <w:r>
        <w:rPr>
          <w:rtl w:val="true"/>
        </w:rPr>
        <w:t>הוא גם איננו מחמיר יתר על המידה עם הנאשם</w:t>
      </w:r>
      <w:r>
        <w:rPr>
          <w:rtl w:val="true"/>
        </w:rPr>
        <w:t xml:space="preserve">. </w:t>
      </w:r>
      <w:r>
        <w:rPr>
          <w:rtl w:val="true"/>
        </w:rPr>
        <w:t>אף על פי כן החלטתי להקל במעט בעונש זה</w:t>
      </w:r>
      <w:r>
        <w:rPr>
          <w:rtl w:val="true"/>
        </w:rPr>
        <w:t xml:space="preserve">, </w:t>
      </w:r>
      <w:r>
        <w:rPr>
          <w:rtl w:val="true"/>
        </w:rPr>
        <w:t>כדי לתת דגש רב יותר להודייתו של הנאשם ולנסיבותיו האישיות</w:t>
      </w:r>
      <w:r>
        <w:rPr>
          <w:rtl w:val="true"/>
        </w:rPr>
        <w:t xml:space="preserve">. </w:t>
      </w:r>
      <w:r>
        <w:rPr>
          <w:rtl w:val="true"/>
        </w:rPr>
        <w:t>קשה לי להעריך כיצד ינהג בו הצבא בעתיד</w:t>
      </w:r>
      <w:r>
        <w:rPr>
          <w:rtl w:val="true"/>
        </w:rPr>
        <w:t xml:space="preserve">, </w:t>
      </w:r>
      <w:r>
        <w:rPr>
          <w:rtl w:val="true"/>
        </w:rPr>
        <w:t>שהרי הוא ביצע עבירה של העדר מן השירות שלא ברשות</w:t>
      </w:r>
      <w:r>
        <w:rPr>
          <w:rtl w:val="true"/>
        </w:rPr>
        <w:t xml:space="preserve">, </w:t>
      </w:r>
      <w:r>
        <w:rPr>
          <w:rtl w:val="true"/>
        </w:rPr>
        <w:t>שבמהלכה ביצע את מעשי העבירה האלה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מקווה אני כי הצבא ינהג בו באורך רוח ובמתינות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מכיוון שכך אני גוזר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מיום מעצרו  </w:t>
      </w:r>
      <w:r>
        <w:rPr/>
        <w:t>8.2.09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לשלוש שנים שלא יעבור במהלך תקופה זו עבירה עליה הורשע</w:t>
      </w:r>
      <w:r>
        <w:rPr>
          <w:rtl w:val="true"/>
        </w:rPr>
        <w:t xml:space="preserve">, </w:t>
      </w:r>
      <w:r>
        <w:rPr>
          <w:rtl w:val="true"/>
        </w:rPr>
        <w:t>עבירה מסוג פשע שיש בה יסוד של אלימות או עבירת רכוש מסוג 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-16" w:end="0"/>
        <w:jc w:val="both"/>
        <w:rPr>
          <w:rFonts w:ascii="Times New Roman" w:hAnsi="Times New Roman" w:cs="Times New Roman"/>
        </w:rPr>
      </w:pPr>
      <w:r>
        <w:rPr>
          <w:rtl w:val="true"/>
        </w:rPr>
        <w:t xml:space="preserve">אני מחייב את הנאשם בפיצוי המתלונן בסכום של </w:t>
      </w:r>
      <w:r>
        <w:rPr/>
        <w:t>1500</w:t>
      </w:r>
      <w:r>
        <w:rPr>
          <w:rtl w:val="true"/>
        </w:rPr>
        <w:t xml:space="preserve"> ₪. </w:t>
      </w:r>
      <w:r>
        <w:rPr>
          <w:rtl w:val="true"/>
        </w:rPr>
        <w:t>סכום זה כבר הופקד בגזברות ולכן הוא יועבר למתלונן</w:t>
      </w:r>
      <w:r>
        <w:rPr>
          <w:rtl w:val="true"/>
        </w:rPr>
        <w:t xml:space="preserve">, </w:t>
      </w:r>
      <w:r>
        <w:rPr>
          <w:rtl w:val="true"/>
        </w:rPr>
        <w:t>על פי הפרטים המלאים שימסרו למזכירות על ידי התביעה</w:t>
      </w:r>
      <w:r>
        <w:rPr>
          <w:rtl w:val="true"/>
        </w:rPr>
        <w:t>.</w:t>
      </w:r>
    </w:p>
    <w:p>
      <w:pPr>
        <w:pStyle w:val="David"/>
        <w:ind w:end="0"/>
        <w:jc w:val="both"/>
        <w:rPr>
          <w:rFonts w:ascii="Times New Roman" w:hAnsi="Times New Roman" w:cs="Times New Roman"/>
        </w:rPr>
      </w:pPr>
      <w:r>
        <w:rPr>
          <w:rFonts w:cs="Times New Roman"/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 xml:space="preserve">זכות ערעור בתוך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 מהיום</w:t>
      </w:r>
      <w:r>
        <w:rPr>
          <w:rtl w:val="true"/>
        </w:rPr>
        <w:t>.</w:t>
      </w:r>
    </w:p>
    <w:p>
      <w:pPr>
        <w:pStyle w:val="Normal"/>
        <w:keepNext w:val="true"/>
        <w:ind w:end="0"/>
        <w:jc w:val="start"/>
        <w:rPr/>
      </w:pPr>
      <w:r>
        <w:rPr>
          <w:vanish/>
          <w:highlight w:val="yellow"/>
          <w:rtl w:val="true"/>
        </w:rPr>
        <w:t>&lt;</w:t>
      </w:r>
      <w:r>
        <w:rPr>
          <w:color w:val="000000"/>
          <w:sz w:val="22"/>
          <w:sz w:val="22"/>
          <w:szCs w:val="22"/>
          <w:rtl w:val="true"/>
        </w:rPr>
        <w:t xml:space="preserve">זכריה כספי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David" w:hAnsi="David" w:eastAsia="David"/>
                <w:b/>
                <w:b/>
                <w:bCs/>
                <w:rtl w:val="true"/>
              </w:rPr>
              <w:t>ניתן והודע היום ג</w:t>
            </w:r>
            <w:r>
              <w:rPr>
                <w:rFonts w:eastAsia="David" w:cs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סיון תשס</w:t>
            </w:r>
            <w:r>
              <w:rPr>
                <w:rFonts w:eastAsia="David" w:cs="David"/>
                <w:b/>
                <w:bCs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ט</w:t>
            </w:r>
            <w:r>
              <w:rPr>
                <w:rFonts w:eastAsia="David" w:cs="David"/>
                <w:b/>
                <w:bCs/>
                <w:rtl w:val="true"/>
              </w:rPr>
              <w:t xml:space="preserve">, </w:t>
            </w:r>
            <w:r>
              <w:rPr>
                <w:rFonts w:eastAsia="David" w:cs="David"/>
                <w:b/>
                <w:bCs/>
              </w:rPr>
              <w:t>26/05/2009</w:t>
            </w:r>
            <w:r>
              <w:rPr>
                <w:rFonts w:eastAsia="David" w:cs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במעמד הנוכחים</w:t>
            </w:r>
            <w:r>
              <w:rPr>
                <w:rFonts w:eastAsia="David" w:cs="David"/>
                <w:b/>
                <w:bCs/>
                <w:rtl w:val="true"/>
              </w:rPr>
              <w:t xml:space="preserve">.  </w:t>
            </w: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זכריה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כספי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סגן נשיא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  <w:bookmarkStart w:id="8" w:name="LastJudge"/>
      <w:bookmarkStart w:id="9" w:name="LastJudge"/>
      <w:bookmarkEnd w:id="9"/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  <w:r>
        <w:rPr>
          <w:vanish/>
          <w:highlight w:val="yellow"/>
          <w:rtl w:val="true"/>
        </w:rPr>
        <w:t>&gt;</w:t>
      </w:r>
    </w:p>
    <w:p>
      <w:pPr>
        <w:pStyle w:val="David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David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David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rFonts w:cs="David"/>
          <w:szCs w:val="24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rFonts w:cs="David"/>
          <w:szCs w:val="24"/>
        </w:rPr>
      </w:pPr>
      <w:r>
        <w:rPr>
          <w:rStyle w:val="LineNumber"/>
          <w:rFonts w:cs="David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אורטל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בוקובזה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rtl w:val="true"/>
        </w:rPr>
        <w:t>נוסח מסמך זה כפוף לשינויי ניסוח ועריכה</w:t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/Users/liorb/Downloads/study2025-p2/ME-09-02-12695-283.doc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12695-02-09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 </w:t>
    </w:r>
    <w:r>
      <w:rPr>
        <w:color w:val="000000"/>
        <w:sz w:val="22"/>
        <w:sz w:val="22"/>
        <w:szCs w:val="22"/>
        <w:rtl w:val="true"/>
      </w:rPr>
      <w:t xml:space="preserve">דניל קוקס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2695-02-09"/>
    <w:docVar w:name="caseId" w:val="12156423"/>
    <w:docVar w:name="deriveClass" w:val="NGCS.Protocol.BL.Client.ProtocolBLClientCriminal"/>
    <w:docVar w:name="firstPageNumber" w:val="15"/>
    <w:docVar w:name="MyInfo" w:val="This document was extracted from Nevo's site"/>
    <w:docVar w:name="NGCS.isReservedAddressPlace" w:val="0"/>
    <w:docVar w:name="NGCS.isReservedVoucherPlace" w:val="0"/>
    <w:docVar w:name="NGCS.TemplateCategoryID" w:val="14"/>
    <w:docVar w:name="privellegeId" w:val="1"/>
    <w:docVar w:name="protocolId" w:val="343080"/>
    <w:docVar w:name="releaseSign" w:val="0"/>
    <w:docVar w:name="sittingDateTime" w:val="26/05/2009 12:30     "/>
    <w:docVar w:name="sittingId" w:val="15517956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12">
    <w:name w:val="סגנון (לטיני) Arial ‏12 נק' מיושר לשני הצדדים מרווח בין שורות:  ..."/>
    <w:basedOn w:val="Normal"/>
    <w:qFormat/>
    <w:pPr>
      <w:spacing w:lineRule="auto" w:line="360"/>
      <w:jc w:val="both"/>
    </w:pPr>
    <w:rPr>
      <w:rFonts w:ascii="Arial" w:hAnsi="Arial" w:eastAsia="Times New Roman" w:cs="Arial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2009-05-27T01:41:00Z</dcterms:created>
  <dc:creator> </dc:creator>
  <dc:description/>
  <cp:keywords/>
  <dc:language>en-IL</dc:language>
  <cp:lastModifiedBy>hofit</cp:lastModifiedBy>
  <cp:lastPrinted>2009-05-26T14:27:00Z</cp:lastPrinted>
  <dcterms:modified xsi:type="dcterms:W3CDTF">2009-05-27T07:44:00Z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 דניל קוקס </vt:lpwstr>
  </property>
  <property fmtid="{D5CDD505-2E9C-101B-9397-08002B2CF9AE}" pid="4" name="CITY">
    <vt:lpwstr>מרכז</vt:lpwstr>
  </property>
  <property fmtid="{D5CDD505-2E9C-101B-9397-08002B2CF9AE}" pid="5" name="DATE">
    <vt:lpwstr>20090526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זכריה כספי</vt:lpwstr>
  </property>
  <property fmtid="{D5CDD505-2E9C-101B-9397-08002B2CF9AE}" pid="9" name="LAWYER">
    <vt:lpwstr>ליאת פלג;ארקדי דוברונסקי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12695</vt:lpwstr>
  </property>
  <property fmtid="{D5CDD505-2E9C-101B-9397-08002B2CF9AE}" pid="23" name="NEWPARTB">
    <vt:lpwstr>02</vt:lpwstr>
  </property>
  <property fmtid="{D5CDD505-2E9C-101B-9397-08002B2CF9AE}" pid="24" name="NEWPARTC">
    <vt:lpwstr>09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390020090526</vt:lpwstr>
  </property>
  <property fmtid="{D5CDD505-2E9C-101B-9397-08002B2CF9AE}" pid="35" name="TYPE_N_DATE">
    <vt:lpwstr>39020090526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