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png" ContentType="image/png"/>
  <Override PartName="/word/media/image2.jpeg" ContentType="image/jpeg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מרכז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Cs/>
                <w:sz w:val="26"/>
                <w:szCs w:val="26"/>
              </w:rPr>
              <w:t>65-12-09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אקרמן ואח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vanish/>
                <w:highlight w:val="yellow"/>
                <w:rtl w:val="true"/>
              </w:rPr>
              <w:t>&gt;&gt;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Cs/>
                <w:sz w:val="26"/>
                <w:szCs w:val="26"/>
              </w:rPr>
              <w:t>18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יולי </w:t>
            </w:r>
            <w:r>
              <w:rPr>
                <w:b/>
                <w:bCs/>
                <w:sz w:val="26"/>
                <w:szCs w:val="26"/>
              </w:rPr>
              <w:t>2010</w:t>
            </w:r>
            <w:r>
              <w:rPr>
                <w:vanish/>
                <w:highlight w:val="yellow"/>
                <w:rtl w:val="true"/>
              </w:rPr>
              <w:t>&gt;</w:t>
            </w:r>
          </w:p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  </w:t>
      </w:r>
    </w:p>
    <w:tbl>
      <w:tblPr>
        <w:bidiVisual w:val="true"/>
        <w:tblW w:w="8802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40"/>
        <w:gridCol w:w="733"/>
        <w:gridCol w:w="1071"/>
        <w:gridCol w:w="3676"/>
        <w:gridCol w:w="82"/>
      </w:tblGrid>
      <w:tr>
        <w:trPr>
          <w:trHeight w:val="337" w:hRule="atLeast"/>
        </w:trPr>
        <w:tc>
          <w:tcPr>
            <w:tcW w:w="3973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שופטת ליאורה ברודי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1071" w:type="dxa"/>
            <w:tcBorders/>
          </w:tcPr>
          <w:p>
            <w:pPr>
              <w:pStyle w:val="Header"/>
              <w:snapToGrid w:val="false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6" w:type="dxa"/>
            <w:tcBorders/>
          </w:tcPr>
          <w:p>
            <w:pPr>
              <w:pStyle w:val="Header"/>
              <w:snapToGrid w:val="false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82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5562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&lt;&lt;&gt;&lt;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vanish/>
                <w:highlight w:val="yellow"/>
                <w:rtl w:val="true"/>
              </w:rPr>
              <w:t>&gt;&gt;</w:t>
            </w:r>
          </w:p>
        </w:tc>
      </w:tr>
      <w:tr>
        <w:trPr/>
        <w:tc>
          <w:tcPr>
            <w:tcW w:w="8802" w:type="dxa"/>
            <w:gridSpan w:val="5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David"/>
                <w:b/>
                <w:bCs/>
                <w:sz w:val="26"/>
                <w:szCs w:val="26"/>
              </w:rPr>
            </w:pPr>
            <w:r>
              <w:rPr>
                <w:rFonts w:cs="David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David"/>
                <w:b/>
                <w:bCs/>
                <w:sz w:val="26"/>
                <w:szCs w:val="26"/>
              </w:rPr>
            </w:pPr>
            <w:r>
              <w:rPr>
                <w:rFonts w:ascii="Arial" w:hAnsi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David"/>
                <w:b/>
                <w:bCs/>
                <w:sz w:val="26"/>
                <w:szCs w:val="26"/>
              </w:rPr>
            </w:pPr>
            <w:r>
              <w:rPr>
                <w:rFonts w:cs="David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ם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5562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&lt;&lt;&gt;&lt;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יהושע אקרמן</w:t>
            </w:r>
            <w:r>
              <w:rPr>
                <w:vanish/>
                <w:highlight w:val="yellow"/>
                <w:rtl w:val="true"/>
              </w:rPr>
              <w:t>&gt;&lt;&gt;&lt;&gt;&gt;</w:t>
            </w:r>
          </w:p>
        </w:tc>
      </w:tr>
      <w:tr>
        <w:trPr/>
        <w:tc>
          <w:tcPr>
            <w:tcW w:w="3240" w:type="dxa"/>
            <w:tcBorders/>
          </w:tcPr>
          <w:p>
            <w:pPr>
              <w:pStyle w:val="Normal"/>
              <w:ind w:end="0"/>
              <w:jc w:val="end"/>
              <w:rPr>
                <w:vanish/>
                <w:highlight w:val="yellow"/>
              </w:rPr>
            </w:pPr>
            <w:r>
              <w:rPr>
                <w:vanish/>
                <w:highlight w:val="yellow"/>
                <w:rtl w:val="true"/>
              </w:rPr>
              <w:t>&lt;&gt;</w:t>
            </w:r>
          </w:p>
        </w:tc>
        <w:tc>
          <w:tcPr>
            <w:tcW w:w="5562" w:type="dxa"/>
            <w:gridSpan w:val="4"/>
            <w:tcBorders/>
          </w:tcPr>
          <w:p>
            <w:pPr>
              <w:pStyle w:val="Normal"/>
              <w:ind w:end="0"/>
              <w:jc w:val="end"/>
              <w:rPr>
                <w:vanish/>
                <w:highlight w:val="yellow"/>
              </w:rPr>
            </w:pPr>
            <w:r>
              <w:rPr>
                <w:vanish/>
                <w:highlight w:val="yellow"/>
                <w:rtl w:val="true"/>
              </w:rPr>
              <w:t>&lt;&gt;</w:t>
            </w:r>
          </w:p>
        </w:tc>
      </w:tr>
    </w:tbl>
    <w:p>
      <w:pPr>
        <w:pStyle w:val="Normal"/>
        <w:ind w:end="0"/>
        <w:jc w:val="start"/>
        <w:rPr/>
      </w:pPr>
      <w:r>
        <w:rPr>
          <w:vanish/>
          <w:highlight w:val="yellow"/>
          <w:rtl w:val="true"/>
        </w:rPr>
        <w:t>&gt;</w:t>
      </w:r>
    </w:p>
    <w:p>
      <w:pPr>
        <w:pStyle w:val="Normal"/>
        <w:ind w:end="0"/>
        <w:jc w:val="start"/>
        <w:rPr/>
      </w:pPr>
      <w:r>
        <w:rPr>
          <w:rStyle w:val="LineNumber"/>
          <w:rFonts w:cs="David" w:ascii="Arial" w:hAnsi="Arial"/>
          <w:sz w:val="6"/>
          <w:szCs w:val="6"/>
          <w:rtl w:val="true"/>
        </w:rPr>
        <w:t>&lt;</w:t>
      </w:r>
      <w:r>
        <w:rPr>
          <w:rStyle w:val="LineNumber"/>
          <w:rFonts w:cs="David" w:ascii="Arial" w:hAnsi="Arial"/>
          <w:sz w:val="6"/>
          <w:szCs w:val="6"/>
        </w:rPr>
        <w:t>#2#</w:t>
      </w:r>
      <w:r>
        <w:rPr>
          <w:rStyle w:val="LineNumber"/>
          <w:rFonts w:cs="David" w:ascii="Arial" w:hAnsi="Arial"/>
          <w:sz w:val="6"/>
          <w:szCs w:val="6"/>
          <w:rtl w:val="true"/>
        </w:rPr>
        <w:t>&gt;</w:t>
      </w:r>
    </w:p>
    <w:p>
      <w:pPr>
        <w:pStyle w:val="Normal"/>
        <w:ind w:end="0"/>
        <w:jc w:val="center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#3#</w:t>
      </w:r>
      <w:r>
        <w:rPr>
          <w:sz w:val="6"/>
          <w:szCs w:val="6"/>
          <w:rtl w:val="true"/>
        </w:rPr>
        <w:t>&gt;</w:t>
      </w:r>
      <w:bookmarkStart w:id="2" w:name="LawTable"/>
      <w:bookmarkEnd w:id="2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6"/>
          <w:szCs w:val="6"/>
        </w:rPr>
      </w:pPr>
      <w:r>
        <w:rPr>
          <w:rFonts w:cs="FrankRuehl" w:ascii="FrankRuehl" w:hAnsi="FrankRuehl"/>
          <w:sz w:val="6"/>
          <w:szCs w:val="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center"/>
        <w:rPr>
          <w:rFonts w:ascii="FrankRuehl" w:hAnsi="FrankRuehl" w:cs="FrankRuehl"/>
          <w:sz w:val="6"/>
          <w:szCs w:val="6"/>
        </w:rPr>
      </w:pPr>
      <w:r>
        <w:rPr>
          <w:rFonts w:cs="FrankRuehl" w:ascii="FrankRuehl" w:hAnsi="FrankRuehl"/>
          <w:sz w:val="6"/>
          <w:szCs w:val="6"/>
          <w:rtl w:val="true"/>
        </w:rPr>
      </w:r>
      <w:bookmarkStart w:id="3" w:name="LawTable_End"/>
      <w:bookmarkStart w:id="4" w:name="LawTable_End"/>
      <w:bookmarkEnd w:id="4"/>
    </w:p>
    <w:p>
      <w:pPr>
        <w:pStyle w:val="Normal"/>
        <w:ind w:end="0"/>
        <w:jc w:val="center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center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5" w:name="PsakDin"/>
      <w:bookmarkEnd w:id="5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bookmarkStart w:id="6" w:name="PsakDin"/>
      <w:bookmarkEnd w:id="6"/>
      <w:r>
        <w:rPr>
          <w:b/>
          <w:bCs/>
          <w:rtl w:val="true"/>
        </w:rPr>
        <w:tab/>
        <w:tab/>
        <w:tab/>
        <w:tab/>
        <w:tab/>
        <w:t>(</w:t>
      </w:r>
      <w:r>
        <w:rPr>
          <w:b/>
          <w:b/>
          <w:bCs/>
          <w:rtl w:val="true"/>
        </w:rPr>
        <w:t xml:space="preserve">לגבי הנאשם </w:t>
      </w:r>
      <w:r>
        <w:rPr>
          <w:b/>
          <w:bCs/>
        </w:rPr>
        <w:t>1</w:t>
      </w:r>
      <w:r>
        <w:rPr>
          <w:b/>
          <w:bCs/>
          <w:rtl w:val="true"/>
        </w:rPr>
        <w:t>)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7" w:name="ABSTRACT_START"/>
      <w:bookmarkEnd w:id="7"/>
      <w:r>
        <w:rPr>
          <w:rtl w:val="true"/>
        </w:rPr>
        <w:t>הנאשם הורשע  על פי הודייתו בעבירה  של החזקת נשק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4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 ל</w:t>
      </w:r>
      <w:hyperlink r:id="rId5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 xml:space="preserve">ז </w:t>
      </w:r>
      <w:r>
        <w:rPr>
          <w:rtl w:val="true"/>
        </w:rPr>
        <w:t>–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:"</w:t>
      </w:r>
      <w:r>
        <w:rPr>
          <w:b/>
          <w:b/>
          <w:bCs/>
          <w:rtl w:val="true"/>
        </w:rPr>
        <w:t>חוק העונשין</w:t>
      </w:r>
      <w:r>
        <w:rPr>
          <w:rtl w:val="true"/>
        </w:rPr>
        <w:t xml:space="preserve">"), </w:t>
      </w:r>
      <w:r>
        <w:rPr>
          <w:rtl w:val="true"/>
        </w:rPr>
        <w:t>במסגרת הסדר טיעון</w:t>
      </w:r>
      <w:r>
        <w:rPr>
          <w:rtl w:val="true"/>
        </w:rPr>
        <w:t xml:space="preserve">, </w:t>
      </w:r>
      <w:r>
        <w:rPr>
          <w:rtl w:val="true"/>
        </w:rPr>
        <w:t>שלפיו תוקן כתב האישום</w:t>
      </w:r>
      <w:r>
        <w:rPr>
          <w:rtl w:val="true"/>
        </w:rPr>
        <w:t xml:space="preserve">, </w:t>
      </w:r>
      <w:r>
        <w:rPr>
          <w:rtl w:val="true"/>
        </w:rPr>
        <w:t>והנאשם נשלח לקבלת תסקיר שירות מבחן</w:t>
      </w:r>
      <w:bookmarkStart w:id="8" w:name="ABSTRACT_END"/>
      <w:bookmarkEnd w:id="8"/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 xml:space="preserve">אשר לעונש </w:t>
      </w:r>
      <w:r>
        <w:rPr>
          <w:rtl w:val="true"/>
        </w:rPr>
        <w:t>–</w:t>
      </w:r>
      <w:r>
        <w:rPr>
          <w:rtl w:val="true"/>
        </w:rPr>
        <w:t xml:space="preserve"> המאשימה הודיעה כי תעתור לעונש ראוי של מאסר בפועל למשך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מאסר על תנאי וקנס</w:t>
      </w:r>
      <w:r>
        <w:rPr>
          <w:rtl w:val="true"/>
        </w:rPr>
        <w:t xml:space="preserve">, </w:t>
      </w:r>
      <w:r>
        <w:rPr>
          <w:rtl w:val="true"/>
        </w:rPr>
        <w:t>כאשר ב</w:t>
      </w:r>
      <w:r>
        <w:rPr>
          <w:rtl w:val="true"/>
        </w:rPr>
        <w:t>"</w:t>
      </w:r>
      <w:r>
        <w:rPr>
          <w:rtl w:val="true"/>
        </w:rPr>
        <w:t>כ הנאשם אינו מוגבל בטיעוניו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Heading4"/>
        <w:ind w:hanging="0" w:start="0"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כתב</w:t>
      </w:r>
      <w:r>
        <w:rPr>
          <w:rFonts w:eastAsia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eastAsia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המתוקן</w:t>
      </w:r>
    </w:p>
    <w:p>
      <w:pPr>
        <w:pStyle w:val="Normal"/>
        <w:spacing w:lineRule="auto" w:line="360"/>
        <w:ind w:start="720" w:end="0"/>
        <w:jc w:val="both"/>
        <w:rPr>
          <w:rFonts w:cs="David"/>
          <w:b/>
          <w:bCs/>
          <w:sz w:val="24"/>
          <w:szCs w:val="24"/>
        </w:rPr>
      </w:pPr>
      <w:r>
        <w:rPr>
          <w:rFonts w:cs="David"/>
          <w:b/>
          <w:bCs/>
          <w:sz w:val="24"/>
          <w:szCs w:val="24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במשך תקופה שאינה ידועה למאשימה במדויק</w:t>
      </w:r>
      <w:r>
        <w:rPr>
          <w:rtl w:val="true"/>
        </w:rPr>
        <w:t xml:space="preserve">, </w:t>
      </w:r>
      <w:r>
        <w:rPr>
          <w:rtl w:val="true"/>
        </w:rPr>
        <w:t xml:space="preserve">עד יום </w:t>
      </w:r>
      <w:r>
        <w:rPr/>
        <w:t>16.11.09</w:t>
      </w:r>
      <w:r>
        <w:rPr>
          <w:rtl w:val="true"/>
        </w:rPr>
        <w:t xml:space="preserve">, </w:t>
      </w:r>
      <w:r>
        <w:rPr>
          <w:rtl w:val="true"/>
        </w:rPr>
        <w:t>החזיק הנאשם בדירתו בת</w:t>
      </w:r>
      <w:r>
        <w:rPr>
          <w:rtl w:val="true"/>
        </w:rPr>
        <w:t>"</w:t>
      </w:r>
      <w:r>
        <w:rPr>
          <w:rtl w:val="true"/>
        </w:rPr>
        <w:t xml:space="preserve">א לבנת חבלה המכילה </w:t>
      </w:r>
      <w:r>
        <w:rPr/>
        <w:t>500</w:t>
      </w:r>
      <w:r>
        <w:rPr>
          <w:rtl w:val="true"/>
        </w:rPr>
        <w:t xml:space="preserve"> </w:t>
      </w:r>
      <w:r>
        <w:rPr>
          <w:rtl w:val="true"/>
        </w:rPr>
        <w:t>גרם חומר נפץ מרסק</w:t>
      </w:r>
      <w:r>
        <w:rPr>
          <w:rtl w:val="true"/>
        </w:rPr>
        <w:t xml:space="preserve">, </w:t>
      </w:r>
      <w:r>
        <w:rPr>
          <w:rtl w:val="true"/>
        </w:rPr>
        <w:t>המחוברת למערכת אשר מיועדת להצמדת לבנות חבלה לאובייקט מסוג עץ ו</w:t>
      </w:r>
      <w:r>
        <w:rPr>
          <w:rtl w:val="true"/>
        </w:rPr>
        <w:t>/</w:t>
      </w:r>
      <w:r>
        <w:rPr>
          <w:rtl w:val="true"/>
        </w:rPr>
        <w:t>או ברזל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החזיק הנאשם בדירה אצבע חבלה המכילה כ</w:t>
      </w:r>
      <w:r>
        <w:rPr>
          <w:rtl w:val="true"/>
        </w:rPr>
        <w:t>-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 xml:space="preserve">גרם חומר נפץ מרסק מסוג </w:t>
      </w:r>
      <w:r>
        <w:rPr/>
        <w:t>C-4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firstLine="360" w:start="360" w:end="0"/>
        <w:jc w:val="both"/>
        <w:rPr/>
      </w:pPr>
      <w:r>
        <w:rPr>
          <w:rtl w:val="true"/>
        </w:rPr>
        <w:t xml:space="preserve">לבנת החבלה ואצבע החבלה הם נשק במובן החוק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הנשק</w:t>
      </w:r>
      <w:r>
        <w:rPr>
          <w:b/>
          <w:bCs/>
          <w:rtl w:val="true"/>
        </w:rPr>
        <w:t>"</w:t>
      </w:r>
      <w:r>
        <w:rPr>
          <w:rtl w:val="true"/>
        </w:rPr>
        <w:t>)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 xml:space="preserve">בתאריך </w:t>
      </w:r>
      <w:r>
        <w:rPr/>
        <w:t>16.11.09</w:t>
      </w:r>
      <w:r>
        <w:rPr>
          <w:rtl w:val="true"/>
        </w:rPr>
        <w:t xml:space="preserve"> </w:t>
      </w:r>
      <w:r>
        <w:rPr>
          <w:rtl w:val="true"/>
        </w:rPr>
        <w:t xml:space="preserve">מסר הנאשם את הנשק לנאשם </w:t>
      </w:r>
      <w:r>
        <w:rPr/>
        <w:t>2</w:t>
      </w:r>
      <w:r>
        <w:rPr>
          <w:rtl w:val="true"/>
        </w:rPr>
        <w:t xml:space="preserve"> (</w:t>
      </w:r>
      <w:r>
        <w:rPr>
          <w:rtl w:val="true"/>
        </w:rPr>
        <w:t>שלומי בשרן</w:t>
      </w:r>
      <w:r>
        <w:rPr>
          <w:rtl w:val="true"/>
        </w:rPr>
        <w:t xml:space="preserve">), </w:t>
      </w:r>
      <w:r>
        <w:rPr>
          <w:rtl w:val="true"/>
        </w:rPr>
        <w:t>על פי בקשתו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 xml:space="preserve">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העביר את הנשק לרכב שהיה בחזקתו</w:t>
      </w:r>
      <w:r>
        <w:rPr>
          <w:rtl w:val="true"/>
        </w:rPr>
        <w:t xml:space="preserve">, </w:t>
      </w:r>
      <w:r>
        <w:rPr>
          <w:rtl w:val="true"/>
        </w:rPr>
        <w:t>הובילו לנווה מונסון</w:t>
      </w:r>
      <w:r>
        <w:rPr>
          <w:rtl w:val="true"/>
        </w:rPr>
        <w:t xml:space="preserve">, </w:t>
      </w:r>
      <w:r>
        <w:rPr>
          <w:rtl w:val="true"/>
        </w:rPr>
        <w:t>שם אסף אדם אחר</w:t>
      </w:r>
      <w:r>
        <w:rPr>
          <w:rtl w:val="true"/>
        </w:rPr>
        <w:t xml:space="preserve">, </w:t>
      </w:r>
      <w:r>
        <w:rPr>
          <w:rtl w:val="true"/>
        </w:rPr>
        <w:t xml:space="preserve">והשניים נסעו ללוד </w:t>
      </w:r>
      <w:r>
        <w:rPr>
          <w:rtl w:val="true"/>
        </w:rPr>
        <w:t xml:space="preserve">, </w:t>
      </w:r>
      <w:r>
        <w:rPr>
          <w:rtl w:val="true"/>
        </w:rPr>
        <w:t>כשהנשק מונח על המושב האחורי של הרכב בתוך תיק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start"/>
        <w:rPr/>
      </w:pPr>
      <w:r>
        <w:rPr>
          <w:rtl w:val="true"/>
        </w:rPr>
      </w:r>
    </w:p>
    <w:p>
      <w:pPr>
        <w:pStyle w:val="Heading5"/>
        <w:ind w:hanging="0" w:start="0" w:end="0"/>
        <w:jc w:val="start"/>
        <w:rPr>
          <w:i w:val="false"/>
          <w:i w:val="false"/>
          <w:iCs w:val="false"/>
        </w:rPr>
      </w:pPr>
      <w:r>
        <w:rPr>
          <w:i w:val="false"/>
          <w:i w:val="false"/>
          <w:iCs w:val="false"/>
          <w:rtl w:val="true"/>
        </w:rPr>
        <w:t>תסקיר שירות מבחן ועדויות האופי</w:t>
      </w:r>
    </w:p>
    <w:p>
      <w:pPr>
        <w:pStyle w:val="Normal"/>
        <w:spacing w:lineRule="auto" w:line="360"/>
        <w:ind w:start="720" w:end="0"/>
        <w:jc w:val="start"/>
        <w:rPr>
          <w:i/>
          <w:i/>
          <w:iCs/>
        </w:rPr>
      </w:pPr>
      <w:r>
        <w:rPr>
          <w:i/>
          <w:iCs/>
          <w:rtl w:val="true"/>
        </w:rPr>
      </w:r>
    </w:p>
    <w:p>
      <w:pPr>
        <w:pStyle w:val="BodyTextIndent2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 xml:space="preserve">הנאשם הינו יליד שנת </w:t>
      </w:r>
      <w:r>
        <w:rPr/>
        <w:t>1983</w:t>
      </w:r>
      <w:r>
        <w:rPr>
          <w:rtl w:val="true"/>
        </w:rPr>
        <w:t xml:space="preserve">, </w:t>
      </w:r>
      <w:r>
        <w:rPr>
          <w:rtl w:val="true"/>
        </w:rPr>
        <w:t>ללא עבר פלילי</w:t>
      </w:r>
      <w:r>
        <w:rPr>
          <w:rtl w:val="true"/>
        </w:rPr>
        <w:t xml:space="preserve">, </w:t>
      </w:r>
      <w:r>
        <w:rPr>
          <w:rtl w:val="true"/>
        </w:rPr>
        <w:t>גדל במשפחה נורמטיבית</w:t>
      </w:r>
      <w:r>
        <w:rPr>
          <w:rtl w:val="true"/>
        </w:rPr>
        <w:t xml:space="preserve">, </w:t>
      </w:r>
      <w:r>
        <w:rPr>
          <w:rtl w:val="true"/>
        </w:rPr>
        <w:t xml:space="preserve">בוגר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 לימוד עם בגרות מלאה</w:t>
      </w:r>
      <w:r>
        <w:rPr>
          <w:rtl w:val="true"/>
        </w:rPr>
        <w:t xml:space="preserve">, </w:t>
      </w:r>
      <w:r>
        <w:rPr>
          <w:rtl w:val="true"/>
        </w:rPr>
        <w:t>למד בישיבה תיכונית</w:t>
      </w:r>
      <w:r>
        <w:rPr>
          <w:rtl w:val="true"/>
        </w:rPr>
        <w:t xml:space="preserve">. </w:t>
      </w:r>
      <w:r>
        <w:rPr>
          <w:rtl w:val="true"/>
        </w:rPr>
        <w:t>בשלב מסוים</w:t>
      </w:r>
      <w:r>
        <w:rPr>
          <w:rtl w:val="true"/>
        </w:rPr>
        <w:t xml:space="preserve">, </w:t>
      </w:r>
      <w:r>
        <w:rPr>
          <w:rtl w:val="true"/>
        </w:rPr>
        <w:t>בגיל ההתבגרות</w:t>
      </w:r>
      <w:r>
        <w:rPr>
          <w:rtl w:val="true"/>
        </w:rPr>
        <w:t xml:space="preserve">, </w:t>
      </w:r>
      <w:r>
        <w:rPr>
          <w:rtl w:val="true"/>
        </w:rPr>
        <w:t>התרחק מהדת</w:t>
      </w:r>
      <w:r>
        <w:rPr>
          <w:rtl w:val="true"/>
        </w:rPr>
        <w:t xml:space="preserve">, </w:t>
      </w:r>
      <w:r>
        <w:rPr>
          <w:rtl w:val="true"/>
        </w:rPr>
        <w:t>התגייס לצה</w:t>
      </w:r>
      <w:r>
        <w:rPr>
          <w:rtl w:val="true"/>
        </w:rPr>
        <w:t>"</w:t>
      </w:r>
      <w:r>
        <w:rPr>
          <w:rtl w:val="true"/>
        </w:rPr>
        <w:t xml:space="preserve">ל ושירת שלוש שנים כלוחם ביחידת </w:t>
      </w:r>
      <w:r>
        <w:rPr>
          <w:rtl w:val="true"/>
        </w:rPr>
        <w:t>"</w:t>
      </w:r>
      <w:r>
        <w:rPr>
          <w:rtl w:val="true"/>
        </w:rPr>
        <w:t>שמשון</w:t>
      </w:r>
      <w:r>
        <w:rPr>
          <w:rtl w:val="true"/>
        </w:rPr>
        <w:t xml:space="preserve">". </w:t>
      </w:r>
      <w:r>
        <w:rPr>
          <w:rtl w:val="true"/>
        </w:rPr>
        <w:t>לאחר שחרורו מצה</w:t>
      </w:r>
      <w:r>
        <w:rPr>
          <w:rtl w:val="true"/>
        </w:rPr>
        <w:t>"</w:t>
      </w:r>
      <w:r>
        <w:rPr>
          <w:rtl w:val="true"/>
        </w:rPr>
        <w:t>ל שהה כחצי שנה בחו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השתלב בלימודי מורי דרך</w:t>
      </w:r>
      <w:r>
        <w:rPr>
          <w:rtl w:val="true"/>
        </w:rPr>
        <w:t xml:space="preserve">, </w:t>
      </w:r>
      <w:r>
        <w:rPr>
          <w:rtl w:val="true"/>
        </w:rPr>
        <w:t>ולאחר מכן בלימודי פסיכולוגיה במכללה האקדמית בת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 xml:space="preserve">שנת הלימודים השנייה שלו הופסקה בעקבות ההליך המשפטי </w:t>
      </w:r>
      <w:r>
        <w:rPr>
          <w:rtl w:val="true"/>
        </w:rPr>
        <w:t>(</w:t>
      </w:r>
      <w:r>
        <w:rPr>
          <w:rtl w:val="true"/>
        </w:rPr>
        <w:t>מעצרו</w:t>
      </w:r>
      <w:r>
        <w:rPr>
          <w:rtl w:val="true"/>
        </w:rPr>
        <w:t xml:space="preserve">), </w:t>
      </w:r>
      <w:r>
        <w:rPr>
          <w:rtl w:val="true"/>
        </w:rPr>
        <w:t>ולאחר מכן שחרורו בתנאים</w:t>
      </w:r>
      <w:r>
        <w:rPr>
          <w:rtl w:val="true"/>
        </w:rPr>
        <w:t xml:space="preserve">. </w:t>
      </w:r>
      <w:r>
        <w:rPr>
          <w:rtl w:val="true"/>
        </w:rPr>
        <w:t xml:space="preserve">לצד לימודיו עבד הנאשם במקומות עבודה שונים </w:t>
      </w:r>
      <w:r>
        <w:rPr>
          <w:rtl w:val="true"/>
        </w:rPr>
        <w:t>–</w:t>
      </w:r>
      <w:r>
        <w:rPr>
          <w:rtl w:val="true"/>
        </w:rPr>
        <w:t xml:space="preserve"> בתחום האבטחה</w:t>
      </w:r>
      <w:r>
        <w:rPr>
          <w:rtl w:val="true"/>
        </w:rPr>
        <w:t xml:space="preserve">, </w:t>
      </w:r>
      <w:r>
        <w:rPr>
          <w:rtl w:val="true"/>
        </w:rPr>
        <w:t>כמורה דרך וכן ב</w:t>
      </w:r>
      <w:r>
        <w:rPr>
          <w:rtl w:val="true"/>
        </w:rPr>
        <w:t>"</w:t>
      </w:r>
      <w:r>
        <w:rPr>
          <w:rtl w:val="true"/>
        </w:rPr>
        <w:t>פסגות לחינוך</w:t>
      </w:r>
      <w:r>
        <w:rPr>
          <w:rtl w:val="true"/>
        </w:rPr>
        <w:t xml:space="preserve">", </w:t>
      </w:r>
      <w:r>
        <w:rPr>
          <w:rtl w:val="true"/>
        </w:rPr>
        <w:t>כרכז הדרכה</w:t>
      </w:r>
      <w:r>
        <w:rPr>
          <w:rtl w:val="true"/>
        </w:rPr>
        <w:t>.</w:t>
      </w:r>
    </w:p>
    <w:p>
      <w:pPr>
        <w:pStyle w:val="BodyTextIndent2"/>
        <w:ind w:hanging="0" w:end="0"/>
        <w:jc w:val="both"/>
        <w:rPr/>
      </w:pPr>
      <w:r>
        <w:rPr>
          <w:rtl w:val="true"/>
        </w:rPr>
        <w:t xml:space="preserve">הנאשם ומשפחתו הם ממפוני גוש קטיף </w:t>
      </w:r>
      <w:r>
        <w:rPr>
          <w:rtl w:val="true"/>
        </w:rPr>
        <w:t>(</w:t>
      </w:r>
      <w:r>
        <w:rPr>
          <w:rtl w:val="true"/>
        </w:rPr>
        <w:t>התגוררו בנווה דקלים</w:t>
      </w:r>
      <w:r>
        <w:rPr>
          <w:rtl w:val="true"/>
        </w:rPr>
        <w:t xml:space="preserve">). </w:t>
      </w:r>
      <w:r>
        <w:rPr>
          <w:rtl w:val="true"/>
        </w:rPr>
        <w:t>לאחר תקופה ארוכה של שהייה במלון בירושלים</w:t>
      </w:r>
      <w:r>
        <w:rPr>
          <w:rtl w:val="true"/>
        </w:rPr>
        <w:t xml:space="preserve">, </w:t>
      </w:r>
      <w:r>
        <w:rPr>
          <w:rtl w:val="true"/>
        </w:rPr>
        <w:t xml:space="preserve">עברו להתגורר באתר המפונים במושב </w:t>
      </w:r>
      <w:r>
        <w:rPr>
          <w:rtl w:val="true"/>
        </w:rPr>
        <w:t>"</w:t>
      </w:r>
      <w:r>
        <w:rPr>
          <w:rtl w:val="true"/>
        </w:rPr>
        <w:t>אמציה</w:t>
      </w:r>
      <w:r>
        <w:rPr>
          <w:rtl w:val="true"/>
        </w:rPr>
        <w:t xml:space="preserve">". </w:t>
      </w:r>
      <w:r>
        <w:rPr>
          <w:rtl w:val="true"/>
        </w:rPr>
        <w:t>כיום מתגורר הנאשם בנפרד מבני משפחתו</w:t>
      </w:r>
      <w:r>
        <w:rPr>
          <w:rtl w:val="true"/>
        </w:rPr>
        <w:t xml:space="preserve">, </w:t>
      </w:r>
      <w:r>
        <w:rPr>
          <w:rtl w:val="true"/>
        </w:rPr>
        <w:t>בדירה בתל</w:t>
      </w:r>
      <w:r>
        <w:rPr>
          <w:rtl w:val="true"/>
        </w:rPr>
        <w:t>-</w:t>
      </w:r>
      <w:r>
        <w:rPr>
          <w:rtl w:val="true"/>
        </w:rPr>
        <w:t>אביב</w:t>
      </w:r>
      <w:r>
        <w:rPr>
          <w:rtl w:val="true"/>
        </w:rPr>
        <w:t xml:space="preserve">, </w:t>
      </w:r>
      <w:r>
        <w:rPr>
          <w:rtl w:val="true"/>
        </w:rPr>
        <w:t>שם בוצעה העבירה</w:t>
      </w:r>
      <w:r>
        <w:rPr>
          <w:rtl w:val="true"/>
        </w:rPr>
        <w:t>.</w:t>
      </w:r>
    </w:p>
    <w:p>
      <w:pPr>
        <w:pStyle w:val="BodyTextIndent2"/>
        <w:ind w:end="0"/>
        <w:jc w:val="both"/>
        <w:rPr/>
      </w:pPr>
      <w:r>
        <w:rPr>
          <w:rtl w:val="true"/>
        </w:rPr>
      </w:r>
    </w:p>
    <w:p>
      <w:pPr>
        <w:pStyle w:val="BodyTextIndent2"/>
        <w:ind w:hanging="0" w:end="0"/>
        <w:jc w:val="both"/>
        <w:rPr/>
      </w:pPr>
      <w:r>
        <w:rPr>
          <w:rtl w:val="true"/>
        </w:rPr>
        <w:t>מהתסקיר והראיות לעונש</w:t>
      </w:r>
      <w:r>
        <w:rPr>
          <w:rtl w:val="true"/>
        </w:rPr>
        <w:t xml:space="preserve">, </w:t>
      </w:r>
      <w:r>
        <w:rPr>
          <w:rtl w:val="true"/>
        </w:rPr>
        <w:t>עולה תמונה של נאשם שתפקד באורח נורמטיבי בכל המסגרות</w:t>
      </w:r>
      <w:r>
        <w:rPr>
          <w:rtl w:val="true"/>
        </w:rPr>
        <w:t xml:space="preserve">. </w:t>
      </w:r>
      <w:r>
        <w:rPr>
          <w:rtl w:val="true"/>
        </w:rPr>
        <w:t xml:space="preserve">אשר לשירות הצבאי </w:t>
      </w:r>
      <w:r>
        <w:rPr>
          <w:rtl w:val="true"/>
        </w:rPr>
        <w:t>–</w:t>
      </w:r>
      <w:r>
        <w:rPr>
          <w:rtl w:val="true"/>
        </w:rPr>
        <w:t xml:space="preserve"> הנאשם שירת כלוחם וכסמל מחלקה בגדוד </w:t>
      </w:r>
      <w:r>
        <w:rPr>
          <w:rtl w:val="true"/>
        </w:rPr>
        <w:t>"</w:t>
      </w:r>
      <w:r>
        <w:rPr>
          <w:rtl w:val="true"/>
        </w:rPr>
        <w:t>שמשון</w:t>
      </w:r>
      <w:r>
        <w:rPr>
          <w:rtl w:val="true"/>
        </w:rPr>
        <w:t xml:space="preserve">", </w:t>
      </w:r>
      <w:r>
        <w:rPr>
          <w:rtl w:val="true"/>
        </w:rPr>
        <w:t>והוא מוכר למפקדיו ולחבריו לפלוגה כחבר טוב</w:t>
      </w:r>
      <w:r>
        <w:rPr>
          <w:rtl w:val="true"/>
        </w:rPr>
        <w:t xml:space="preserve">, </w:t>
      </w:r>
      <w:r>
        <w:rPr>
          <w:rtl w:val="true"/>
        </w:rPr>
        <w:t>אדם ערכי שניתן לסמוך עליו</w:t>
      </w:r>
      <w:r>
        <w:rPr>
          <w:rtl w:val="true"/>
        </w:rPr>
        <w:t xml:space="preserve">, </w:t>
      </w:r>
      <w:r>
        <w:rPr>
          <w:rtl w:val="true"/>
        </w:rPr>
        <w:t>דמות חיובית</w:t>
      </w:r>
      <w:r>
        <w:rPr>
          <w:rtl w:val="true"/>
        </w:rPr>
        <w:t xml:space="preserve">, </w:t>
      </w:r>
      <w:r>
        <w:rPr>
          <w:rtl w:val="true"/>
        </w:rPr>
        <w:t xml:space="preserve">מודל לחיקוי וכן כמי שעמד בפני אתגרים ומצבים </w:t>
      </w:r>
      <w:r>
        <w:rPr>
          <w:rtl w:val="true"/>
        </w:rPr>
        <w:t>"</w:t>
      </w:r>
      <w:r>
        <w:rPr>
          <w:rtl w:val="true"/>
        </w:rPr>
        <w:t>מאיימים</w:t>
      </w:r>
      <w:r>
        <w:rPr>
          <w:rtl w:val="true"/>
        </w:rPr>
        <w:t xml:space="preserve">", </w:t>
      </w:r>
      <w:r>
        <w:rPr>
          <w:rtl w:val="true"/>
        </w:rPr>
        <w:t>בהם היה צורך בקבלת החלטות ערכיות קשות</w:t>
      </w:r>
      <w:r>
        <w:rPr>
          <w:rtl w:val="true"/>
        </w:rPr>
        <w:t xml:space="preserve">, </w:t>
      </w:r>
      <w:r>
        <w:rPr>
          <w:rtl w:val="true"/>
        </w:rPr>
        <w:t>נוכח פני אויב וסכנת חיים</w:t>
      </w:r>
      <w:r>
        <w:rPr>
          <w:rtl w:val="true"/>
        </w:rPr>
        <w:t xml:space="preserve">. </w:t>
      </w:r>
    </w:p>
    <w:p>
      <w:pPr>
        <w:pStyle w:val="BodyTextIndent2"/>
        <w:ind w:hanging="0" w:end="0"/>
        <w:jc w:val="both"/>
        <w:rPr/>
      </w:pPr>
      <w:r>
        <w:rPr>
          <w:rtl w:val="true"/>
        </w:rPr>
      </w:r>
    </w:p>
    <w:p>
      <w:pPr>
        <w:pStyle w:val="BodyTextIndent2"/>
        <w:ind w:hanging="0" w:end="0"/>
        <w:jc w:val="both"/>
        <w:rPr/>
      </w:pPr>
      <w:r>
        <w:rPr>
          <w:rtl w:val="true"/>
        </w:rPr>
        <w:t xml:space="preserve">בתחום התעסוקתי </w:t>
      </w:r>
      <w:r>
        <w:rPr>
          <w:rtl w:val="true"/>
        </w:rPr>
        <w:t>–</w:t>
      </w:r>
      <w:r>
        <w:rPr>
          <w:rtl w:val="true"/>
        </w:rPr>
        <w:t xml:space="preserve"> תפקד באורח ראוי לציון ולשביעות רצון הממונים עליו</w:t>
      </w:r>
      <w:r>
        <w:rPr>
          <w:rtl w:val="true"/>
        </w:rPr>
        <w:t xml:space="preserve">, </w:t>
      </w:r>
      <w:r>
        <w:rPr>
          <w:rtl w:val="true"/>
        </w:rPr>
        <w:t>ועשה חיל בכל תפקידיו</w:t>
      </w:r>
      <w:r>
        <w:rPr>
          <w:rtl w:val="true"/>
        </w:rPr>
        <w:t>.</w:t>
      </w:r>
    </w:p>
    <w:p>
      <w:pPr>
        <w:pStyle w:val="BodyTextIndent2"/>
        <w:ind w:hanging="0" w:end="0"/>
        <w:jc w:val="both"/>
        <w:rPr/>
      </w:pPr>
      <w:r>
        <w:rPr>
          <w:rtl w:val="true"/>
        </w:rPr>
      </w:r>
    </w:p>
    <w:p>
      <w:pPr>
        <w:pStyle w:val="BodyTextIndent2"/>
        <w:ind w:hanging="0" w:end="0"/>
        <w:jc w:val="both"/>
        <w:rPr/>
      </w:pPr>
      <w:r>
        <w:rPr>
          <w:rtl w:val="true"/>
        </w:rPr>
        <w:t xml:space="preserve">בתחום הפעילות הציבורית וההתנדבותית </w:t>
      </w:r>
      <w:r>
        <w:rPr>
          <w:rtl w:val="true"/>
        </w:rPr>
        <w:t>–</w:t>
      </w:r>
      <w:r>
        <w:rPr>
          <w:rtl w:val="true"/>
        </w:rPr>
        <w:t xml:space="preserve"> עבודה עם בני נוער</w:t>
      </w:r>
      <w:r>
        <w:rPr>
          <w:rtl w:val="true"/>
        </w:rPr>
        <w:t xml:space="preserve">, </w:t>
      </w:r>
      <w:r>
        <w:rPr>
          <w:rtl w:val="true"/>
        </w:rPr>
        <w:t>במקביל לימודים ועבודה</w:t>
      </w:r>
      <w:r>
        <w:rPr>
          <w:rtl w:val="true"/>
        </w:rPr>
        <w:t xml:space="preserve">. </w:t>
      </w:r>
    </w:p>
    <w:p>
      <w:pPr>
        <w:pStyle w:val="BodyTextIndent2"/>
        <w:ind w:hanging="0" w:end="0"/>
        <w:jc w:val="both"/>
        <w:rPr/>
      </w:pPr>
      <w:r>
        <w:rPr>
          <w:rtl w:val="true"/>
        </w:rPr>
      </w:r>
    </w:p>
    <w:p>
      <w:pPr>
        <w:pStyle w:val="BodyTextIndent2"/>
        <w:ind w:hanging="0" w:end="0"/>
        <w:jc w:val="both"/>
        <w:rPr/>
      </w:pPr>
      <w:r>
        <w:rPr>
          <w:rtl w:val="true"/>
        </w:rPr>
        <w:t>בהתייחסותו לעבירה נטל הנאשם אחריות בפני שירות המבחן</w:t>
      </w:r>
      <w:r>
        <w:rPr>
          <w:rtl w:val="true"/>
        </w:rPr>
        <w:t xml:space="preserve">, </w:t>
      </w:r>
      <w:r>
        <w:rPr>
          <w:rtl w:val="true"/>
        </w:rPr>
        <w:t>הביע חרטה עמוקה וגילה תובנה לחומרת מעשיו</w:t>
      </w:r>
      <w:r>
        <w:rPr>
          <w:rtl w:val="true"/>
        </w:rPr>
        <w:t xml:space="preserve">, </w:t>
      </w:r>
      <w:r>
        <w:rPr>
          <w:rtl w:val="true"/>
        </w:rPr>
        <w:t>לסיכון הכרוך במעשה ולהשלכותיו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חברו הטוב</w:t>
      </w:r>
      <w:r>
        <w:rPr>
          <w:rtl w:val="true"/>
        </w:rPr>
        <w:t xml:space="preserve">, </w:t>
      </w:r>
      <w:r>
        <w:rPr>
          <w:rtl w:val="true"/>
        </w:rPr>
        <w:t>אשר התגורר עימו בדירה באותה עת</w:t>
      </w:r>
      <w:r>
        <w:rPr>
          <w:rtl w:val="true"/>
        </w:rPr>
        <w:t xml:space="preserve">, </w:t>
      </w:r>
      <w:r>
        <w:rPr>
          <w:rtl w:val="true"/>
        </w:rPr>
        <w:t>נהג להביא לדירה ציוד צבאי</w:t>
      </w:r>
      <w:r>
        <w:rPr>
          <w:rtl w:val="true"/>
        </w:rPr>
        <w:t xml:space="preserve">, </w:t>
      </w:r>
      <w:r>
        <w:rPr>
          <w:rtl w:val="true"/>
        </w:rPr>
        <w:t>והנאשם התקשה לשים לו גבולות</w:t>
      </w:r>
      <w:r>
        <w:rPr>
          <w:rtl w:val="true"/>
        </w:rPr>
        <w:t xml:space="preserve">. </w:t>
      </w:r>
      <w:r>
        <w:rPr>
          <w:rtl w:val="true"/>
        </w:rPr>
        <w:t>בתקופה שבה שירת הנאשם במילואים</w:t>
      </w:r>
      <w:r>
        <w:rPr>
          <w:rtl w:val="true"/>
        </w:rPr>
        <w:t xml:space="preserve">, </w:t>
      </w:r>
      <w:r>
        <w:rPr>
          <w:rtl w:val="true"/>
        </w:rPr>
        <w:t xml:space="preserve">פנה אליו נאשם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אשר היה נתון במצוקה כלכלית</w:t>
      </w:r>
      <w:r>
        <w:rPr>
          <w:rtl w:val="true"/>
        </w:rPr>
        <w:t xml:space="preserve">, </w:t>
      </w:r>
      <w:r>
        <w:rPr>
          <w:rtl w:val="true"/>
        </w:rPr>
        <w:t>וביקש ממנו לספק לו נשק אותו יוכל להחליף תמורת כסף</w:t>
      </w:r>
      <w:r>
        <w:rPr>
          <w:rtl w:val="true"/>
        </w:rPr>
        <w:t xml:space="preserve">. </w:t>
      </w:r>
      <w:r>
        <w:rPr>
          <w:rtl w:val="true"/>
        </w:rPr>
        <w:t xml:space="preserve">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הטרידו תקופה ארוכה</w:t>
      </w:r>
      <w:r>
        <w:rPr>
          <w:rtl w:val="true"/>
        </w:rPr>
        <w:t xml:space="preserve">. </w:t>
      </w:r>
      <w:r>
        <w:rPr>
          <w:rtl w:val="true"/>
        </w:rPr>
        <w:t xml:space="preserve">ביום האירוע דרש ממנו 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את חומרי החבלה</w:t>
      </w:r>
      <w:r>
        <w:rPr>
          <w:rtl w:val="true"/>
        </w:rPr>
        <w:t xml:space="preserve">, </w:t>
      </w:r>
      <w:r>
        <w:rPr>
          <w:rtl w:val="true"/>
        </w:rPr>
        <w:t>נטלם בעל כורחו של הנאשם</w:t>
      </w:r>
      <w:r>
        <w:rPr>
          <w:rtl w:val="true"/>
        </w:rPr>
        <w:t xml:space="preserve">, </w:t>
      </w:r>
      <w:r>
        <w:rPr>
          <w:rtl w:val="true"/>
        </w:rPr>
        <w:t>ולא נענה לדרישתו להחזירם</w:t>
      </w:r>
      <w:r>
        <w:rPr>
          <w:rtl w:val="true"/>
        </w:rPr>
        <w:t xml:space="preserve">. </w:t>
      </w:r>
      <w:r>
        <w:rPr>
          <w:rtl w:val="true"/>
        </w:rPr>
        <w:t>שירות המבחן התרשם כי התנהגותו של הנאשם באירוע היתה תוצאה של הצטברות תחושת חרדה</w:t>
      </w:r>
      <w:r>
        <w:rPr>
          <w:rtl w:val="true"/>
        </w:rPr>
        <w:t xml:space="preserve">, </w:t>
      </w:r>
      <w:r>
        <w:rPr>
          <w:rtl w:val="true"/>
        </w:rPr>
        <w:t xml:space="preserve">בעקבות הטרדות חוזרות ונשנות מצד נאשם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אשר היקשו על הנאשם להפעיל שיקול דעת ולהציב לו גבולות ברורים</w:t>
      </w:r>
      <w:r>
        <w:rPr>
          <w:rtl w:val="true"/>
        </w:rPr>
        <w:t xml:space="preserve">. </w:t>
      </w:r>
    </w:p>
    <w:p>
      <w:pPr>
        <w:pStyle w:val="BodyTextIndent2"/>
        <w:ind w:hanging="0" w:end="0"/>
        <w:jc w:val="both"/>
        <w:rPr/>
      </w:pPr>
      <w:r>
        <w:rPr>
          <w:rtl w:val="true"/>
        </w:rPr>
      </w:r>
    </w:p>
    <w:p>
      <w:pPr>
        <w:pStyle w:val="BodyTextIndent2"/>
        <w:ind w:hanging="0" w:end="0"/>
        <w:jc w:val="both"/>
        <w:rPr/>
      </w:pPr>
      <w:r>
        <w:rPr>
          <w:rtl w:val="true"/>
        </w:rPr>
        <w:t>ייאמר כי עד ההגנה</w:t>
      </w:r>
      <w:r>
        <w:rPr>
          <w:rtl w:val="true"/>
        </w:rPr>
        <w:t xml:space="preserve">, </w:t>
      </w:r>
      <w:r>
        <w:rPr>
          <w:rtl w:val="true"/>
        </w:rPr>
        <w:t xml:space="preserve">מר אסף שטרית </w:t>
      </w:r>
      <w:r>
        <w:rPr>
          <w:rtl w:val="true"/>
        </w:rPr>
        <w:t>(</w:t>
      </w:r>
      <w:r>
        <w:rPr>
          <w:rtl w:val="true"/>
        </w:rPr>
        <w:t>אשר לא נחקר במשטרה</w:t>
      </w:r>
      <w:r>
        <w:rPr>
          <w:rtl w:val="true"/>
        </w:rPr>
        <w:t xml:space="preserve">), </w:t>
      </w:r>
      <w:r>
        <w:rPr>
          <w:rtl w:val="true"/>
        </w:rPr>
        <w:t>העיד כי הנאשם רב עם חברו</w:t>
      </w:r>
      <w:r>
        <w:rPr>
          <w:rtl w:val="true"/>
        </w:rPr>
        <w:t xml:space="preserve">, </w:t>
      </w:r>
      <w:r>
        <w:rPr>
          <w:rtl w:val="true"/>
        </w:rPr>
        <w:t>אשר הביא לדירה את הנשק</w:t>
      </w:r>
      <w:r>
        <w:rPr>
          <w:rtl w:val="true"/>
        </w:rPr>
        <w:t xml:space="preserve">, </w:t>
      </w:r>
      <w:r>
        <w:rPr>
          <w:rtl w:val="true"/>
        </w:rPr>
        <w:t>וביקשו להוציא את הנשק אל מחוץ לבית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 הסתייג</w:t>
      </w:r>
      <w:r>
        <w:rPr>
          <w:rtl w:val="true"/>
        </w:rPr>
        <w:t xml:space="preserve">, </w:t>
      </w:r>
      <w:r>
        <w:rPr>
          <w:rtl w:val="true"/>
        </w:rPr>
        <w:t>ובצדק</w:t>
      </w:r>
      <w:r>
        <w:rPr>
          <w:rtl w:val="true"/>
        </w:rPr>
        <w:t xml:space="preserve">, </w:t>
      </w:r>
      <w:r>
        <w:rPr>
          <w:rtl w:val="true"/>
        </w:rPr>
        <w:t>מהדברים</w:t>
      </w:r>
      <w:r>
        <w:rPr>
          <w:rtl w:val="true"/>
        </w:rPr>
        <w:t xml:space="preserve">, </w:t>
      </w:r>
      <w:r>
        <w:rPr>
          <w:rtl w:val="true"/>
        </w:rPr>
        <w:t>בטענה כי אלה נשמעים לראשונה בבית המשפט</w:t>
      </w:r>
      <w:r>
        <w:rPr>
          <w:rtl w:val="true"/>
        </w:rPr>
        <w:t xml:space="preserve">, </w:t>
      </w:r>
      <w:r>
        <w:rPr>
          <w:rtl w:val="true"/>
        </w:rPr>
        <w:t>ובאופן זה לא ניתן לבדוק את אמיתות הגרסה</w:t>
      </w:r>
      <w:r>
        <w:rPr>
          <w:rtl w:val="true"/>
        </w:rPr>
        <w:t xml:space="preserve">. </w:t>
      </w:r>
    </w:p>
    <w:p>
      <w:pPr>
        <w:pStyle w:val="BodyTextIndent2"/>
        <w:ind w:hanging="0" w:end="0"/>
        <w:jc w:val="both"/>
        <w:rPr/>
      </w:pPr>
      <w:r>
        <w:rPr>
          <w:rtl w:val="true"/>
        </w:rPr>
      </w:r>
    </w:p>
    <w:p>
      <w:pPr>
        <w:pStyle w:val="BodyTextIndent2"/>
        <w:ind w:hanging="0" w:end="0"/>
        <w:jc w:val="both"/>
        <w:rPr/>
      </w:pPr>
      <w:r>
        <w:rPr>
          <w:rtl w:val="true"/>
        </w:rPr>
        <w:t>שירות המבחן מסכם</w:t>
      </w:r>
      <w:r>
        <w:rPr>
          <w:rtl w:val="true"/>
        </w:rPr>
        <w:t xml:space="preserve">, </w:t>
      </w:r>
      <w:r>
        <w:rPr>
          <w:rtl w:val="true"/>
        </w:rPr>
        <w:t>מבלי להתעלם מחומרת העבירה</w:t>
      </w:r>
      <w:r>
        <w:rPr>
          <w:rtl w:val="true"/>
        </w:rPr>
        <w:t xml:space="preserve">, </w:t>
      </w:r>
      <w:r>
        <w:rPr>
          <w:rtl w:val="true"/>
        </w:rPr>
        <w:t>כי מדובר בנאשם</w:t>
      </w:r>
      <w:r>
        <w:rPr>
          <w:rtl w:val="true"/>
        </w:rPr>
        <w:t xml:space="preserve">, </w:t>
      </w:r>
      <w:r>
        <w:rPr>
          <w:rtl w:val="true"/>
        </w:rPr>
        <w:t>אשר לאורך השנים ניהל אורח חיים תקין ונורמטיבי</w:t>
      </w:r>
      <w:r>
        <w:rPr>
          <w:rtl w:val="true"/>
        </w:rPr>
        <w:t xml:space="preserve">, </w:t>
      </w:r>
      <w:r>
        <w:rPr>
          <w:rtl w:val="true"/>
        </w:rPr>
        <w:t>בעל כוחות פנימיים ורשת תמיכה סביבתית</w:t>
      </w:r>
      <w:r>
        <w:rPr>
          <w:rtl w:val="true"/>
        </w:rPr>
        <w:t xml:space="preserve">. </w:t>
      </w:r>
      <w:r>
        <w:rPr>
          <w:rtl w:val="true"/>
        </w:rPr>
        <w:t>מאסר בפועל עלול להוות נסיגה משמעותית עבורו בכל תחומי חייו</w:t>
      </w:r>
      <w:r>
        <w:rPr>
          <w:rtl w:val="true"/>
        </w:rPr>
        <w:t xml:space="preserve">. </w:t>
      </w:r>
      <w:r>
        <w:rPr>
          <w:rtl w:val="true"/>
        </w:rPr>
        <w:t>ההמלצה היא להטיל על הנאשם עונש מוחשי בעל אלמנט חינוכי</w:t>
      </w:r>
      <w:r>
        <w:rPr>
          <w:rtl w:val="true"/>
        </w:rPr>
        <w:t xml:space="preserve">, </w:t>
      </w:r>
      <w:r>
        <w:rPr>
          <w:rtl w:val="true"/>
        </w:rPr>
        <w:t>כדוגמת מאסר בעבודות שירות</w:t>
      </w:r>
      <w:r>
        <w:rPr>
          <w:rtl w:val="true"/>
        </w:rPr>
        <w:t xml:space="preserve">, </w:t>
      </w:r>
      <w:r>
        <w:rPr>
          <w:rtl w:val="true"/>
        </w:rPr>
        <w:t>בצירוף ענישה צופה פני עתיד</w:t>
      </w:r>
      <w:r>
        <w:rPr>
          <w:rtl w:val="true"/>
        </w:rPr>
        <w:t xml:space="preserve">, </w:t>
      </w:r>
      <w:r>
        <w:rPr>
          <w:rtl w:val="true"/>
        </w:rPr>
        <w:t>אשר תמחיש לנאשם את חומרת העבירה ותהווה גורם הרתעתי</w:t>
      </w:r>
      <w:r>
        <w:rPr>
          <w:rtl w:val="true"/>
        </w:rPr>
        <w:t>.</w:t>
      </w:r>
    </w:p>
    <w:p>
      <w:pPr>
        <w:pStyle w:val="BodyTextIndent2"/>
        <w:ind w:hanging="0" w:end="0"/>
        <w:jc w:val="both"/>
        <w:rPr/>
      </w:pPr>
      <w:r>
        <w:rPr>
          <w:rtl w:val="true"/>
        </w:rPr>
      </w:r>
    </w:p>
    <w:p>
      <w:pPr>
        <w:pStyle w:val="BodyTextIndent2"/>
        <w:ind w:hanging="0" w:end="0"/>
        <w:jc w:val="both"/>
        <w:rPr>
          <w:b/>
          <w:bCs/>
        </w:rPr>
      </w:pPr>
      <w:r>
        <w:rPr>
          <w:b/>
          <w:b/>
          <w:bCs/>
          <w:rtl w:val="true"/>
        </w:rPr>
        <w:t xml:space="preserve">גזר הדין בעניינו של נאשם </w:t>
      </w:r>
      <w:r>
        <w:rPr>
          <w:b/>
          <w:bCs/>
        </w:rPr>
        <w:t>2</w:t>
      </w:r>
    </w:p>
    <w:p>
      <w:pPr>
        <w:pStyle w:val="BodyTextIndent2"/>
        <w:ind w:hanging="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BodyTextIndent2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 xml:space="preserve">נאשם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שלומי בשרן</w:t>
      </w:r>
      <w:r>
        <w:rPr>
          <w:rtl w:val="true"/>
        </w:rPr>
        <w:t xml:space="preserve">, </w:t>
      </w:r>
      <w:r>
        <w:rPr>
          <w:rtl w:val="true"/>
        </w:rPr>
        <w:t xml:space="preserve">נדון למאסר בפועל למשך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חודשים ומאסר על תנאי</w:t>
      </w:r>
      <w:r>
        <w:rPr>
          <w:rtl w:val="true"/>
        </w:rPr>
        <w:t xml:space="preserve">. </w:t>
      </w:r>
      <w:r>
        <w:rPr>
          <w:rtl w:val="true"/>
        </w:rPr>
        <w:t>בעניינו הוצג הסדר טיעון</w:t>
      </w:r>
      <w:r>
        <w:rPr>
          <w:rtl w:val="true"/>
        </w:rPr>
        <w:t xml:space="preserve">, </w:t>
      </w:r>
      <w:r>
        <w:rPr>
          <w:rtl w:val="true"/>
        </w:rPr>
        <w:t xml:space="preserve">שכלל תיקון כתב האישום </w:t>
      </w:r>
      <w:r>
        <w:rPr>
          <w:rtl w:val="true"/>
        </w:rPr>
        <w:t>(</w:t>
      </w:r>
      <w:r>
        <w:rPr>
          <w:rtl w:val="true"/>
        </w:rPr>
        <w:t>בעיקר הוראות החיקוק</w:t>
      </w:r>
      <w:r>
        <w:rPr>
          <w:rtl w:val="true"/>
        </w:rPr>
        <w:t xml:space="preserve">). </w:t>
      </w:r>
      <w:r>
        <w:rPr>
          <w:rtl w:val="true"/>
        </w:rPr>
        <w:t xml:space="preserve">המאשימה עתרה להטיל עליו עונש ראוי של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ובא כוחו לא היה מוגבל בטיעוניו</w:t>
      </w:r>
      <w:r>
        <w:rPr>
          <w:rtl w:val="true"/>
        </w:rPr>
        <w:t xml:space="preserve">. </w:t>
      </w:r>
    </w:p>
    <w:p>
      <w:pPr>
        <w:pStyle w:val="BodyTextIndent2"/>
        <w:ind w:end="0"/>
        <w:jc w:val="both"/>
        <w:rPr/>
      </w:pPr>
      <w:r>
        <w:rPr>
          <w:rtl w:val="true"/>
        </w:rPr>
      </w:r>
    </w:p>
    <w:p>
      <w:pPr>
        <w:pStyle w:val="BodyTextIndent2"/>
        <w:ind w:hanging="0" w:end="0"/>
        <w:jc w:val="both"/>
        <w:rPr/>
      </w:pPr>
      <w:r>
        <w:rPr>
          <w:rtl w:val="true"/>
        </w:rPr>
        <w:t xml:space="preserve">מגזר הדין עולה כי בעברו של 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הרשעה קודמת בעבירת אלימות</w:t>
      </w:r>
      <w:r>
        <w:rPr>
          <w:rtl w:val="true"/>
        </w:rPr>
        <w:t xml:space="preserve">, </w:t>
      </w:r>
      <w:r>
        <w:rPr>
          <w:rtl w:val="true"/>
        </w:rPr>
        <w:t>בגינה נדון למאסר בעבודות שירות</w:t>
      </w:r>
      <w:r>
        <w:rPr>
          <w:rtl w:val="true"/>
        </w:rPr>
        <w:t xml:space="preserve">. </w:t>
      </w:r>
      <w:r>
        <w:rPr>
          <w:rtl w:val="true"/>
        </w:rPr>
        <w:t>הוא שירת שירות צבאי מלא</w:t>
      </w:r>
      <w:r>
        <w:rPr>
          <w:rtl w:val="true"/>
        </w:rPr>
        <w:t xml:space="preserve">, </w:t>
      </w:r>
      <w:r>
        <w:rPr>
          <w:rtl w:val="true"/>
        </w:rPr>
        <w:t>הודה והביע חרטה</w:t>
      </w:r>
      <w:r>
        <w:rPr>
          <w:rtl w:val="true"/>
        </w:rPr>
        <w:t xml:space="preserve">. </w:t>
      </w:r>
      <w:r>
        <w:rPr>
          <w:rtl w:val="true"/>
        </w:rPr>
        <w:t>ראוי לציין כי הסביר את מעורבותו על רקע חובות כספיים לגורמים עבריינים ואיומים מרומזים מצידם על שלום משפחתו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התבקש על ידם להשיג עבורם נשק</w:t>
      </w:r>
      <w:r>
        <w:rPr>
          <w:rtl w:val="true"/>
        </w:rPr>
        <w:t xml:space="preserve">, </w:t>
      </w:r>
      <w:r>
        <w:rPr>
          <w:rtl w:val="true"/>
        </w:rPr>
        <w:t>על רקע עבודתו בתחום האבטחה</w:t>
      </w:r>
      <w:r>
        <w:rPr>
          <w:rtl w:val="true"/>
        </w:rPr>
        <w:t xml:space="preserve">.  </w:t>
      </w:r>
      <w:r>
        <w:rPr>
          <w:rtl w:val="true"/>
        </w:rPr>
        <w:t>בית המשפט התחשב לקולא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 xml:space="preserve">בהודייתו של הנאשם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וברקע להסתבכותו </w:t>
      </w:r>
      <w:r>
        <w:rPr>
          <w:rtl w:val="true"/>
        </w:rPr>
        <w:t>–</w:t>
      </w:r>
      <w:r>
        <w:rPr>
          <w:rtl w:val="true"/>
        </w:rPr>
        <w:t xml:space="preserve"> על רקע חובות</w:t>
      </w:r>
      <w:r>
        <w:rPr>
          <w:rtl w:val="true"/>
        </w:rPr>
        <w:t xml:space="preserve">, </w:t>
      </w:r>
      <w:r>
        <w:rPr>
          <w:rtl w:val="true"/>
        </w:rPr>
        <w:t>ולא על רקע ניהול אורח חיים עברייני</w:t>
      </w:r>
      <w:r>
        <w:rPr>
          <w:rtl w:val="true"/>
        </w:rPr>
        <w:t xml:space="preserve">. </w:t>
      </w:r>
    </w:p>
    <w:p>
      <w:pPr>
        <w:pStyle w:val="BodyTextIndent2"/>
        <w:ind w:hanging="0" w:end="0"/>
        <w:jc w:val="both"/>
        <w:rPr/>
      </w:pPr>
      <w:r>
        <w:rPr>
          <w:rtl w:val="true"/>
        </w:rPr>
      </w:r>
    </w:p>
    <w:p>
      <w:pPr>
        <w:pStyle w:val="BodyTextIndent2"/>
        <w:ind w:hanging="0" w:end="0"/>
        <w:jc w:val="both"/>
        <w:rPr/>
      </w:pPr>
      <w:r>
        <w:rPr>
          <w:rtl w:val="true"/>
        </w:rPr>
      </w:r>
    </w:p>
    <w:p>
      <w:pPr>
        <w:pStyle w:val="BodyTextIndent2"/>
        <w:ind w:hanging="0" w:end="0"/>
        <w:jc w:val="both"/>
        <w:rPr/>
      </w:pPr>
      <w:r>
        <w:rPr>
          <w:rtl w:val="true"/>
        </w:rPr>
      </w:r>
    </w:p>
    <w:p>
      <w:pPr>
        <w:pStyle w:val="BodyTextIndent2"/>
        <w:ind w:hanging="0" w:end="0"/>
        <w:jc w:val="both"/>
        <w:rPr/>
      </w:pPr>
      <w:r>
        <w:rPr>
          <w:rtl w:val="true"/>
        </w:rPr>
      </w:r>
    </w:p>
    <w:p>
      <w:pPr>
        <w:pStyle w:val="BodyTextIndent2"/>
        <w:ind w:hanging="0" w:end="0"/>
        <w:jc w:val="both"/>
        <w:rPr/>
      </w:pPr>
      <w:r>
        <w:rPr>
          <w:rtl w:val="true"/>
        </w:rPr>
      </w:r>
    </w:p>
    <w:p>
      <w:pPr>
        <w:pStyle w:val="BodyTextIndent2"/>
        <w:ind w:hanging="0" w:end="0"/>
        <w:jc w:val="both"/>
        <w:rPr/>
      </w:pPr>
      <w:r>
        <w:rPr>
          <w:rtl w:val="true"/>
        </w:rPr>
      </w:r>
    </w:p>
    <w:p>
      <w:pPr>
        <w:pStyle w:val="BodyTextIndent2"/>
        <w:ind w:hanging="0" w:end="0"/>
        <w:jc w:val="both"/>
        <w:rPr>
          <w:b/>
          <w:bCs/>
        </w:rPr>
      </w:pPr>
      <w:r>
        <w:rPr>
          <w:b/>
          <w:b/>
          <w:bCs/>
          <w:rtl w:val="true"/>
        </w:rPr>
        <w:t>טיעוני 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 הצדדים</w:t>
      </w:r>
    </w:p>
    <w:p>
      <w:pPr>
        <w:pStyle w:val="BodyTextIndent2"/>
        <w:ind w:hanging="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BodyTextIndent2"/>
        <w:ind w:hanging="0" w:end="0"/>
        <w:jc w:val="both"/>
        <w:rPr>
          <w:u w:val="single"/>
        </w:rPr>
      </w:pP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 xml:space="preserve">כ המאשימה </w:t>
      </w:r>
    </w:p>
    <w:p>
      <w:pPr>
        <w:pStyle w:val="BodyTextIndent2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BodyTextIndent2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 xml:space="preserve">כ המאשימה עתר להטלת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 מאסר בפועל ומאסר על תנאי</w:t>
      </w:r>
      <w:r>
        <w:rPr>
          <w:rtl w:val="true"/>
        </w:rPr>
        <w:t xml:space="preserve">, </w:t>
      </w:r>
      <w:r>
        <w:rPr>
          <w:rtl w:val="true"/>
        </w:rPr>
        <w:t>מבלי שחזר על העתירה להטלת קנס</w:t>
      </w:r>
      <w:r>
        <w:rPr>
          <w:rtl w:val="true"/>
        </w:rPr>
        <w:t xml:space="preserve">, </w:t>
      </w:r>
      <w:r>
        <w:rPr>
          <w:rtl w:val="true"/>
        </w:rPr>
        <w:t xml:space="preserve">כפי שהוצג בהסדר הטיעון </w:t>
      </w:r>
      <w:r>
        <w:rPr>
          <w:rtl w:val="true"/>
        </w:rPr>
        <w:t>(</w:t>
      </w:r>
      <w:r>
        <w:rPr>
          <w:rtl w:val="true"/>
        </w:rPr>
        <w:t xml:space="preserve">אף 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לא חוייב בקנס</w:t>
      </w:r>
      <w:r>
        <w:rPr>
          <w:rtl w:val="true"/>
        </w:rPr>
        <w:t xml:space="preserve">). </w:t>
      </w:r>
    </w:p>
    <w:p>
      <w:pPr>
        <w:pStyle w:val="BodyTextIndent2"/>
        <w:ind w:end="0"/>
        <w:jc w:val="both"/>
        <w:rPr/>
      </w:pPr>
      <w:r>
        <w:rPr>
          <w:rtl w:val="true"/>
        </w:rPr>
      </w:r>
    </w:p>
    <w:p>
      <w:pPr>
        <w:pStyle w:val="BodyTextIndent2"/>
        <w:ind w:hanging="0" w:end="0"/>
        <w:jc w:val="both"/>
        <w:rPr/>
      </w:pPr>
      <w:r>
        <w:rPr>
          <w:rtl w:val="true"/>
        </w:rPr>
        <w:t>בטיעוניו הדגיש ב</w:t>
      </w:r>
      <w:r>
        <w:rPr>
          <w:rtl w:val="true"/>
        </w:rPr>
        <w:t>"</w:t>
      </w:r>
      <w:r>
        <w:rPr>
          <w:rtl w:val="true"/>
        </w:rPr>
        <w:t>כ המאשימה את חומרת העבירה והסיכון שכרוך בביצועה</w:t>
      </w:r>
      <w:r>
        <w:rPr>
          <w:rtl w:val="true"/>
        </w:rPr>
        <w:t xml:space="preserve">, </w:t>
      </w:r>
      <w:r>
        <w:rPr>
          <w:rtl w:val="true"/>
        </w:rPr>
        <w:t>ולא כל שכן כאשר מדובר במערכת חבלה מוכנה לשימוש</w:t>
      </w:r>
      <w:r>
        <w:rPr>
          <w:rtl w:val="true"/>
        </w:rPr>
        <w:t xml:space="preserve">, </w:t>
      </w:r>
      <w:r>
        <w:rPr>
          <w:rtl w:val="true"/>
        </w:rPr>
        <w:t>שעלולה היתה להגיע לגורמים פליליים</w:t>
      </w:r>
      <w:r>
        <w:rPr>
          <w:rtl w:val="true"/>
        </w:rPr>
        <w:t xml:space="preserve">, </w:t>
      </w:r>
      <w:r>
        <w:rPr>
          <w:rtl w:val="true"/>
        </w:rPr>
        <w:t>אילמלא נתפס הנשק</w:t>
      </w:r>
      <w:r>
        <w:rPr>
          <w:rtl w:val="true"/>
        </w:rPr>
        <w:t xml:space="preserve">. </w:t>
      </w:r>
      <w:r>
        <w:rPr>
          <w:rtl w:val="true"/>
        </w:rPr>
        <w:t xml:space="preserve">כן עתר להתייחס בספקנות לתזה שהועלתה על ידי ההגנה באשר לפחד בו היה נתון הנאשם או תחושת האיום מפני 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והאחר</w:t>
      </w:r>
      <w:r>
        <w:rPr>
          <w:rtl w:val="true"/>
        </w:rPr>
        <w:t xml:space="preserve">. </w:t>
      </w:r>
    </w:p>
    <w:p>
      <w:pPr>
        <w:pStyle w:val="BodyTextIndent2"/>
        <w:ind w:hanging="0" w:end="0"/>
        <w:jc w:val="both"/>
        <w:rPr/>
      </w:pPr>
      <w:r>
        <w:rPr>
          <w:rtl w:val="true"/>
        </w:rPr>
      </w:r>
    </w:p>
    <w:p>
      <w:pPr>
        <w:pStyle w:val="BodyTextIndent2"/>
        <w:ind w:hanging="0" w:end="0"/>
        <w:jc w:val="both"/>
        <w:rPr/>
      </w:pPr>
      <w:r>
        <w:rPr>
          <w:rtl w:val="true"/>
        </w:rPr>
        <w:t xml:space="preserve">אשר לעקרון אחידות הענישה </w:t>
      </w:r>
      <w:r>
        <w:rPr>
          <w:rtl w:val="true"/>
        </w:rPr>
        <w:t>–</w:t>
      </w:r>
      <w:r>
        <w:rPr>
          <w:rtl w:val="true"/>
        </w:rPr>
        <w:t xml:space="preserve"> מלכתחילה היתה המאשימה בדעה כי ראוי להטיל על הנאשם מחצית מתקופת המאסר בפועל שנתבקשה לגבי נאשם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וזאת בשל ההבחנה שיש לערוך ביניהם</w:t>
      </w:r>
      <w:r>
        <w:rPr>
          <w:rtl w:val="true"/>
        </w:rPr>
        <w:t xml:space="preserve">: </w:t>
      </w:r>
      <w:r>
        <w:rPr>
          <w:rtl w:val="true"/>
        </w:rPr>
        <w:t xml:space="preserve">לנאשם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הרשעה קודמת בעבירת אלימות והוא זה שהוביל את הנשק  לצורך העברתו לגורמים אחרים</w:t>
      </w:r>
      <w:r>
        <w:rPr>
          <w:rtl w:val="true"/>
        </w:rPr>
        <w:t xml:space="preserve">. </w:t>
      </w:r>
      <w:r>
        <w:rPr>
          <w:rtl w:val="true"/>
        </w:rPr>
        <w:t>לעומת זאת</w:t>
      </w:r>
      <w:r>
        <w:rPr>
          <w:rtl w:val="true"/>
        </w:rPr>
        <w:t xml:space="preserve">, </w:t>
      </w:r>
      <w:r>
        <w:rPr>
          <w:rtl w:val="true"/>
        </w:rPr>
        <w:t>לנאשם אין עבר פלילי</w:t>
      </w:r>
      <w:r>
        <w:rPr>
          <w:rtl w:val="true"/>
        </w:rPr>
        <w:t xml:space="preserve">, </w:t>
      </w:r>
      <w:r>
        <w:rPr>
          <w:rtl w:val="true"/>
        </w:rPr>
        <w:t>והנשק לא הוצא על ידו באופן יזום אל מחוץ לדירה</w:t>
      </w:r>
      <w:r>
        <w:rPr>
          <w:rtl w:val="true"/>
        </w:rPr>
        <w:t xml:space="preserve">. </w:t>
      </w:r>
    </w:p>
    <w:p>
      <w:pPr>
        <w:pStyle w:val="BodyTextIndent2"/>
        <w:ind w:hanging="0" w:end="0"/>
        <w:jc w:val="both"/>
        <w:rPr/>
      </w:pPr>
      <w:r>
        <w:rPr>
          <w:rtl w:val="true"/>
        </w:rPr>
      </w:r>
    </w:p>
    <w:p>
      <w:pPr>
        <w:pStyle w:val="BodyTextIndent2"/>
        <w:ind w:hanging="0" w:end="0"/>
        <w:jc w:val="both"/>
        <w:rPr/>
      </w:pPr>
      <w:r>
        <w:rPr>
          <w:rtl w:val="true"/>
        </w:rPr>
        <w:t xml:space="preserve">לסיכום </w:t>
      </w:r>
      <w:r>
        <w:rPr>
          <w:rtl w:val="true"/>
        </w:rPr>
        <w:t xml:space="preserve">- </w:t>
      </w:r>
      <w:r>
        <w:rPr>
          <w:rtl w:val="true"/>
        </w:rPr>
        <w:t>כך ב</w:t>
      </w:r>
      <w:r>
        <w:rPr>
          <w:rtl w:val="true"/>
        </w:rPr>
        <w:t>"</w:t>
      </w:r>
      <w:r>
        <w:rPr>
          <w:rtl w:val="true"/>
        </w:rPr>
        <w:t xml:space="preserve">כ המאשימה </w:t>
      </w:r>
      <w:r>
        <w:rPr>
          <w:rtl w:val="true"/>
        </w:rPr>
        <w:t>–</w:t>
      </w:r>
      <w:r>
        <w:rPr>
          <w:rtl w:val="true"/>
        </w:rPr>
        <w:t xml:space="preserve"> על אף שנאשם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נדון ל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 xml:space="preserve">עומדת המאשימה על עתירתה להטלת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>.</w:t>
      </w:r>
    </w:p>
    <w:p>
      <w:pPr>
        <w:pStyle w:val="BodyTextIndent2"/>
        <w:ind w:end="0"/>
        <w:jc w:val="both"/>
        <w:rPr/>
      </w:pPr>
      <w:r>
        <w:rPr>
          <w:rtl w:val="true"/>
        </w:rPr>
      </w:r>
    </w:p>
    <w:p>
      <w:pPr>
        <w:pStyle w:val="BodyTextIndent2"/>
        <w:ind w:hanging="0" w:end="0"/>
        <w:jc w:val="both"/>
        <w:rPr>
          <w:u w:val="single"/>
        </w:rPr>
      </w:pP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 הנאשם</w:t>
      </w:r>
    </w:p>
    <w:p>
      <w:pPr>
        <w:pStyle w:val="BodyTextIndent2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BodyTextIndent2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 xml:space="preserve">כ הנאשם עתר להטיל על הנאשם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 מאסר שירוצה בעבודות שירות</w:t>
      </w:r>
      <w:r>
        <w:rPr>
          <w:rtl w:val="true"/>
        </w:rPr>
        <w:t xml:space="preserve">, </w:t>
      </w:r>
      <w:r>
        <w:rPr>
          <w:rtl w:val="true"/>
        </w:rPr>
        <w:t xml:space="preserve">ללא ניכוי ימי המעצר </w:t>
      </w:r>
      <w:r>
        <w:rPr>
          <w:rtl w:val="true"/>
        </w:rPr>
        <w:t>(</w:t>
      </w:r>
      <w:r>
        <w:rPr>
          <w:rtl w:val="true"/>
        </w:rPr>
        <w:t>למעלה מחודשיים</w:t>
      </w:r>
      <w:r>
        <w:rPr>
          <w:rtl w:val="true"/>
        </w:rPr>
        <w:t xml:space="preserve">), </w:t>
      </w:r>
      <w:r>
        <w:rPr>
          <w:rtl w:val="true"/>
        </w:rPr>
        <w:t>שלצידה עונש צופה פני עתיד</w:t>
      </w:r>
      <w:r>
        <w:rPr>
          <w:rtl w:val="true"/>
        </w:rPr>
        <w:t xml:space="preserve">, </w:t>
      </w:r>
      <w:r>
        <w:rPr>
          <w:rtl w:val="true"/>
        </w:rPr>
        <w:t>בהדגישו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את עברו הנקי של הנאשם</w:t>
      </w:r>
      <w:r>
        <w:rPr>
          <w:rtl w:val="true"/>
        </w:rPr>
        <w:t xml:space="preserve">, </w:t>
      </w:r>
      <w:r>
        <w:rPr>
          <w:rtl w:val="true"/>
        </w:rPr>
        <w:t>תפקודו הנורמטיבי והראוי לציון בכל תחומי החיים</w:t>
      </w:r>
      <w:r>
        <w:rPr>
          <w:rtl w:val="true"/>
        </w:rPr>
        <w:t xml:space="preserve">, </w:t>
      </w:r>
      <w:r>
        <w:rPr>
          <w:rtl w:val="true"/>
        </w:rPr>
        <w:t>הודייתו וחרטתו</w:t>
      </w:r>
      <w:r>
        <w:rPr>
          <w:rtl w:val="true"/>
        </w:rPr>
        <w:t xml:space="preserve">. </w:t>
      </w:r>
      <w:r>
        <w:rPr>
          <w:rtl w:val="true"/>
        </w:rPr>
        <w:t xml:space="preserve">אשר לנסיבות ביצוע העבירה </w:t>
      </w:r>
      <w:r>
        <w:rPr>
          <w:rtl w:val="true"/>
        </w:rPr>
        <w:t>–</w:t>
      </w:r>
      <w:r>
        <w:rPr>
          <w:rtl w:val="true"/>
        </w:rPr>
        <w:t xml:space="preserve"> הנאשם היה נתון תחת לחץ מצד נאשם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ואף דרישותיו מהאחר לסלק את הנשק מהדירה לא נעתרו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הופנה בית המשפט לפסיקה</w:t>
      </w:r>
      <w:r>
        <w:rPr>
          <w:rtl w:val="true"/>
        </w:rPr>
        <w:t xml:space="preserve">, </w:t>
      </w:r>
      <w:r>
        <w:rPr>
          <w:rtl w:val="true"/>
        </w:rPr>
        <w:t xml:space="preserve">בין היתר של בית המשפט המחוזי </w:t>
      </w:r>
      <w:r>
        <w:rPr>
          <w:rtl w:val="true"/>
        </w:rPr>
        <w:t>(</w:t>
      </w:r>
      <w:r>
        <w:rPr>
          <w:rtl w:val="true"/>
        </w:rPr>
        <w:t>חלקה לא מהעת האחרונה</w:t>
      </w:r>
      <w:r>
        <w:rPr>
          <w:rtl w:val="true"/>
        </w:rPr>
        <w:t xml:space="preserve">), </w:t>
      </w:r>
      <w:r>
        <w:rPr>
          <w:rtl w:val="true"/>
        </w:rPr>
        <w:t xml:space="preserve">בה הוטלו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 מאסר בעבודות שירות בגין עבירות של החזקת נשק</w:t>
      </w:r>
      <w:r>
        <w:rPr>
          <w:rtl w:val="true"/>
        </w:rPr>
        <w:t xml:space="preserve">, </w:t>
      </w:r>
      <w:r>
        <w:rPr>
          <w:rtl w:val="true"/>
        </w:rPr>
        <w:t>אך נראה כי אין מדובר בפסקי דין שמשקפים בהכרח את מדיניות הענישה</w:t>
      </w:r>
      <w:r>
        <w:rPr>
          <w:rtl w:val="true"/>
        </w:rPr>
        <w:t xml:space="preserve">, </w:t>
      </w:r>
      <w:r>
        <w:rPr>
          <w:rtl w:val="true"/>
        </w:rPr>
        <w:t xml:space="preserve">אלא יש לראות כל מקרה לנסיבותיו </w:t>
      </w:r>
      <w:r>
        <w:rPr>
          <w:rtl w:val="true"/>
        </w:rPr>
        <w:t>(</w:t>
      </w:r>
      <w:r>
        <w:rPr>
          <w:rtl w:val="true"/>
        </w:rPr>
        <w:t>כך למשל</w:t>
      </w:r>
      <w:r>
        <w:rPr>
          <w:rtl w:val="true"/>
        </w:rPr>
        <w:t xml:space="preserve">, </w:t>
      </w:r>
      <w:r>
        <w:rPr>
          <w:rtl w:val="true"/>
        </w:rPr>
        <w:t>באחד המקרים הענישה היתה במסגרת הסדר טיעון</w:t>
      </w:r>
      <w:r>
        <w:rPr>
          <w:rtl w:val="true"/>
        </w:rPr>
        <w:t xml:space="preserve">, </w:t>
      </w:r>
      <w:r>
        <w:rPr>
          <w:rtl w:val="true"/>
        </w:rPr>
        <w:t>שהושג בשל שיקולים ראיתיים</w:t>
      </w:r>
      <w:r>
        <w:rPr>
          <w:rtl w:val="true"/>
        </w:rPr>
        <w:t>).</w:t>
      </w:r>
    </w:p>
    <w:p>
      <w:pPr>
        <w:pStyle w:val="BodyTextIndent2"/>
        <w:ind w:end="0"/>
        <w:jc w:val="both"/>
        <w:rPr/>
      </w:pPr>
      <w:r>
        <w:rPr>
          <w:rtl w:val="true"/>
        </w:rPr>
      </w:r>
    </w:p>
    <w:p>
      <w:pPr>
        <w:pStyle w:val="BodyTextIndent2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u w:val="single"/>
          <w:rtl w:val="true"/>
        </w:rPr>
        <w:t>הנאשם</w:t>
      </w:r>
      <w:r>
        <w:rPr>
          <w:rtl w:val="true"/>
        </w:rPr>
        <w:t xml:space="preserve"> הביע צער וחרטה על מעשיו</w:t>
      </w:r>
      <w:r>
        <w:rPr>
          <w:rtl w:val="true"/>
        </w:rPr>
        <w:t>.</w:t>
      </w:r>
    </w:p>
    <w:p>
      <w:pPr>
        <w:pStyle w:val="BodyTextIndent2"/>
        <w:ind w:end="0"/>
        <w:jc w:val="both"/>
        <w:rPr/>
      </w:pPr>
      <w:r>
        <w:rPr>
          <w:rtl w:val="true"/>
        </w:rPr>
      </w:r>
    </w:p>
    <w:p>
      <w:pPr>
        <w:pStyle w:val="BodyTextIndent2"/>
        <w:ind w:start="1440" w:end="0"/>
        <w:jc w:val="both"/>
        <w:rPr>
          <w:b/>
          <w:bCs/>
        </w:rPr>
      </w:pPr>
      <w:r>
        <w:rPr>
          <w:b/>
          <w:b/>
          <w:bCs/>
          <w:rtl w:val="true"/>
        </w:rPr>
        <w:t>דיון והכרעה</w:t>
      </w:r>
    </w:p>
    <w:p>
      <w:pPr>
        <w:pStyle w:val="BodyTextIndent2"/>
        <w:ind w:start="144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BodyTextIndent2"/>
        <w:ind w:start="1440" w:end="0"/>
        <w:jc w:val="both"/>
        <w:rPr>
          <w:u w:val="single"/>
        </w:rPr>
      </w:pPr>
      <w:r>
        <w:rPr>
          <w:u w:val="single"/>
          <w:rtl w:val="true"/>
        </w:rPr>
        <w:t>שיקולים לחומרה</w:t>
      </w:r>
    </w:p>
    <w:p>
      <w:pPr>
        <w:pStyle w:val="BodyTextIndent2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BodyTextIndent2"/>
        <w:tabs>
          <w:tab w:val="clear" w:pos="720"/>
          <w:tab w:val="left" w:pos="752" w:leader="none"/>
        </w:tabs>
        <w:ind w:hanging="1440" w:start="144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בית משפט רואה בחומרה את העבירה בה הורשע הנאשם</w:t>
      </w:r>
      <w:r>
        <w:rPr>
          <w:rtl w:val="true"/>
        </w:rPr>
        <w:t xml:space="preserve">. </w:t>
      </w:r>
      <w:r>
        <w:rPr>
          <w:rtl w:val="true"/>
        </w:rPr>
        <w:t xml:space="preserve">יודגש כי בענייננו מדובר בהחזקת לבנת חבלה המכילה </w:t>
      </w:r>
      <w:r>
        <w:rPr/>
        <w:t>500</w:t>
      </w:r>
      <w:r>
        <w:rPr>
          <w:rtl w:val="true"/>
        </w:rPr>
        <w:t xml:space="preserve"> </w:t>
      </w:r>
      <w:r>
        <w:rPr>
          <w:rtl w:val="true"/>
        </w:rPr>
        <w:t>גרם חומר נפץ</w:t>
      </w:r>
      <w:r>
        <w:rPr>
          <w:rtl w:val="true"/>
        </w:rPr>
        <w:t xml:space="preserve">, </w:t>
      </w:r>
      <w:r>
        <w:rPr>
          <w:rtl w:val="true"/>
        </w:rPr>
        <w:t>שהיתה מחוברת למערכת המיועדת להצמדת הלבנה לאובייקט הרצוי</w:t>
      </w:r>
      <w:r>
        <w:rPr>
          <w:rtl w:val="true"/>
        </w:rPr>
        <w:t xml:space="preserve">. </w:t>
      </w:r>
      <w:r>
        <w:rPr>
          <w:rtl w:val="true"/>
        </w:rPr>
        <w:t>במילים אחרות</w:t>
      </w:r>
      <w:r>
        <w:rPr>
          <w:rtl w:val="true"/>
        </w:rPr>
        <w:t xml:space="preserve">, </w:t>
      </w:r>
      <w:r>
        <w:rPr>
          <w:rtl w:val="true"/>
        </w:rPr>
        <w:t xml:space="preserve">במערכת </w:t>
      </w:r>
      <w:r>
        <w:rPr>
          <w:u w:val="single"/>
          <w:rtl w:val="true"/>
        </w:rPr>
        <w:t>זמינה לשימוש</w:t>
      </w:r>
      <w:r>
        <w:rPr>
          <w:rtl w:val="true"/>
        </w:rPr>
        <w:t xml:space="preserve"> שיש בה כדי לסכן חיי אדם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החזיק הנאשם כאמור</w:t>
      </w:r>
      <w:r>
        <w:rPr>
          <w:rtl w:val="true"/>
        </w:rPr>
        <w:t xml:space="preserve">, </w:t>
      </w:r>
      <w:r>
        <w:rPr>
          <w:rtl w:val="true"/>
        </w:rPr>
        <w:t xml:space="preserve">אצבע חבלה המכילה 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גרם חומר נפץ מרוסק</w:t>
      </w:r>
      <w:r>
        <w:rPr>
          <w:rtl w:val="true"/>
        </w:rPr>
        <w:t xml:space="preserve">. </w:t>
      </w:r>
      <w:r>
        <w:rPr>
          <w:rtl w:val="true"/>
        </w:rPr>
        <w:t>מדובר בנשק המשמש</w:t>
      </w:r>
      <w:r>
        <w:rPr>
          <w:rtl w:val="true"/>
        </w:rPr>
        <w:t xml:space="preserve">, </w:t>
      </w:r>
      <w:r>
        <w:rPr>
          <w:rtl w:val="true"/>
        </w:rPr>
        <w:t xml:space="preserve">מניה וביה למטרות עברייניות </w:t>
      </w:r>
      <w:r>
        <w:rPr>
          <w:rtl w:val="true"/>
        </w:rPr>
        <w:t>–</w:t>
      </w:r>
      <w:r>
        <w:rPr>
          <w:rtl w:val="true"/>
        </w:rPr>
        <w:t xml:space="preserve"> בין אם לצורך ביצוע עבירות פליליות ובין אם לביצוע עבירות בטחוניות</w:t>
      </w:r>
      <w:r>
        <w:rPr>
          <w:rtl w:val="true"/>
        </w:rPr>
        <w:t xml:space="preserve">. </w:t>
      </w:r>
    </w:p>
    <w:p>
      <w:pPr>
        <w:pStyle w:val="BodyTextIndent2"/>
        <w:tabs>
          <w:tab w:val="clear" w:pos="720"/>
          <w:tab w:val="left" w:pos="752" w:leader="none"/>
        </w:tabs>
        <w:ind w:hanging="1440" w:start="1440" w:end="0"/>
        <w:jc w:val="both"/>
        <w:rPr/>
      </w:pPr>
      <w:r>
        <w:rPr>
          <w:rtl w:val="true"/>
        </w:rPr>
      </w:r>
    </w:p>
    <w:p>
      <w:pPr>
        <w:pStyle w:val="BodyTextIndent2"/>
        <w:tabs>
          <w:tab w:val="clear" w:pos="720"/>
          <w:tab w:val="left" w:pos="752" w:leader="none"/>
        </w:tabs>
        <w:ind w:hanging="144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 xml:space="preserve">הנאשם החזיק את הנשק בדירה בה התגורר </w:t>
      </w:r>
      <w:r>
        <w:rPr>
          <w:u w:val="single"/>
          <w:rtl w:val="true"/>
        </w:rPr>
        <w:t>במהלך תקופה</w:t>
      </w:r>
      <w:r>
        <w:rPr>
          <w:rtl w:val="true"/>
        </w:rPr>
        <w:t xml:space="preserve"> </w:t>
      </w:r>
      <w:r>
        <w:rPr>
          <w:rtl w:val="true"/>
        </w:rPr>
        <w:t xml:space="preserve">. </w:t>
      </w:r>
      <w:r>
        <w:rPr>
          <w:rtl w:val="true"/>
        </w:rPr>
        <w:t>נסיבות ההחזקה נותרו עמומות</w:t>
      </w:r>
      <w:r>
        <w:rPr>
          <w:rtl w:val="true"/>
        </w:rPr>
        <w:t xml:space="preserve">, </w:t>
      </w:r>
      <w:r>
        <w:rPr>
          <w:rtl w:val="true"/>
        </w:rPr>
        <w:t>ועל פניו הטענה כי הנאשם חש מאוים אינה משכנעת</w:t>
      </w:r>
      <w:r>
        <w:rPr>
          <w:rtl w:val="true"/>
        </w:rPr>
        <w:t xml:space="preserve">. </w:t>
      </w:r>
      <w:r>
        <w:rPr>
          <w:rtl w:val="true"/>
        </w:rPr>
        <w:t>מעדויות האופי עולה תמונה של נאשם לוחם ומפקד</w:t>
      </w:r>
      <w:r>
        <w:rPr>
          <w:rtl w:val="true"/>
        </w:rPr>
        <w:t xml:space="preserve">, </w:t>
      </w:r>
      <w:r>
        <w:rPr>
          <w:rtl w:val="true"/>
        </w:rPr>
        <w:t>שתפקד במצבי לחץ לאורך תקופה</w:t>
      </w:r>
      <w:r>
        <w:rPr>
          <w:rtl w:val="true"/>
        </w:rPr>
        <w:t xml:space="preserve">, </w:t>
      </w:r>
      <w:r>
        <w:rPr>
          <w:rtl w:val="true"/>
        </w:rPr>
        <w:t>כך שספק בעיני אם נכונה הטענה כי סיפק את הנשק לנאשם האחר במידה מסוימת בעל כורחו</w:t>
      </w:r>
      <w:r>
        <w:rPr>
          <w:rtl w:val="true"/>
        </w:rPr>
        <w:t xml:space="preserve">. </w:t>
      </w:r>
      <w:r>
        <w:rPr>
          <w:rtl w:val="true"/>
        </w:rPr>
        <w:t>ניתן לצפות מהנאשם</w:t>
      </w:r>
      <w:r>
        <w:rPr>
          <w:rtl w:val="true"/>
        </w:rPr>
        <w:t xml:space="preserve">, </w:t>
      </w:r>
      <w:r>
        <w:rPr>
          <w:rtl w:val="true"/>
        </w:rPr>
        <w:t>כפי שהוא תואר בבית המשפט</w:t>
      </w:r>
      <w:r>
        <w:rPr>
          <w:rtl w:val="true"/>
        </w:rPr>
        <w:t xml:space="preserve">, </w:t>
      </w:r>
      <w:r>
        <w:rPr>
          <w:rtl w:val="true"/>
        </w:rPr>
        <w:t>כי במהלך התקופה</w:t>
      </w:r>
      <w:r>
        <w:rPr>
          <w:rtl w:val="true"/>
        </w:rPr>
        <w:t xml:space="preserve">, </w:t>
      </w:r>
      <w:r>
        <w:rPr>
          <w:rtl w:val="true"/>
        </w:rPr>
        <w:t>אילו נכון הדבר כי אחסון הנשק בדירתו היה למורת רוחו</w:t>
      </w:r>
      <w:r>
        <w:rPr>
          <w:rtl w:val="true"/>
        </w:rPr>
        <w:t xml:space="preserve">, </w:t>
      </w:r>
      <w:r>
        <w:rPr>
          <w:rtl w:val="true"/>
        </w:rPr>
        <w:t>היה מגיש תלונה למשטרת ישראל</w:t>
      </w:r>
      <w:r>
        <w:rPr>
          <w:rtl w:val="true"/>
        </w:rPr>
        <w:t xml:space="preserve">. </w:t>
      </w:r>
      <w:r>
        <w:rPr>
          <w:rtl w:val="true"/>
        </w:rPr>
        <w:t>משלא עשה כן</w:t>
      </w:r>
      <w:r>
        <w:rPr>
          <w:rtl w:val="true"/>
        </w:rPr>
        <w:t xml:space="preserve">, </w:t>
      </w:r>
      <w:r>
        <w:rPr>
          <w:rtl w:val="true"/>
        </w:rPr>
        <w:t>מתקבלת תמונה של מי שהחזיק נשק זמין לשימוש במהלך תקופה</w:t>
      </w:r>
      <w:r>
        <w:rPr>
          <w:rtl w:val="true"/>
        </w:rPr>
        <w:t xml:space="preserve">, </w:t>
      </w:r>
      <w:r>
        <w:rPr>
          <w:rtl w:val="true"/>
        </w:rPr>
        <w:t>אשר מסרו לאחר</w:t>
      </w:r>
      <w:r>
        <w:rPr>
          <w:rtl w:val="true"/>
        </w:rPr>
        <w:t xml:space="preserve">, </w:t>
      </w:r>
      <w:r>
        <w:rPr>
          <w:rtl w:val="true"/>
        </w:rPr>
        <w:t>בידיעה כי הוא עלול להגיע גם לידי גורמים עוינים</w:t>
      </w:r>
      <w:r>
        <w:rPr>
          <w:rtl w:val="true"/>
        </w:rPr>
        <w:t>.</w:t>
      </w:r>
    </w:p>
    <w:p>
      <w:pPr>
        <w:pStyle w:val="BodyTextIndent2"/>
        <w:tabs>
          <w:tab w:val="clear" w:pos="720"/>
          <w:tab w:val="left" w:pos="752" w:leader="none"/>
        </w:tabs>
        <w:ind w:hanging="1440" w:start="1440" w:end="0"/>
        <w:jc w:val="both"/>
        <w:rPr/>
      </w:pPr>
      <w:r>
        <w:rPr>
          <w:rtl w:val="true"/>
        </w:rPr>
      </w:r>
    </w:p>
    <w:p>
      <w:pPr>
        <w:pStyle w:val="BodyTextIndent2"/>
        <w:numPr>
          <w:ilvl w:val="0"/>
          <w:numId w:val="4"/>
        </w:numPr>
        <w:tabs>
          <w:tab w:val="clear" w:pos="720"/>
          <w:tab w:val="left" w:pos="752" w:leader="none"/>
        </w:tabs>
        <w:ind w:hanging="690" w:start="1440" w:end="0"/>
        <w:jc w:val="both"/>
        <w:rPr/>
      </w:pPr>
      <w:r>
        <w:rPr>
          <w:rtl w:val="true"/>
        </w:rPr>
        <w:t xml:space="preserve">מדיניות הענישה </w:t>
      </w:r>
      <w:r>
        <w:rPr>
          <w:rtl w:val="true"/>
        </w:rPr>
        <w:t xml:space="preserve">- </w:t>
      </w:r>
      <w:r>
        <w:rPr>
          <w:rtl w:val="true"/>
        </w:rPr>
        <w:t>בתי המשפט שבים ומדגישים את הסיכון הגלום בביצוע העבירה ואת הצורך להטיל מאסר בפועל</w:t>
      </w:r>
      <w:r>
        <w:rPr>
          <w:rtl w:val="true"/>
        </w:rPr>
        <w:t xml:space="preserve">, </w:t>
      </w:r>
      <w:r>
        <w:rPr>
          <w:rtl w:val="true"/>
        </w:rPr>
        <w:t>אף על מי שאין לו עבר פלילי</w:t>
      </w:r>
      <w:r>
        <w:rPr>
          <w:rtl w:val="true"/>
        </w:rPr>
        <w:t xml:space="preserve">. </w:t>
      </w:r>
    </w:p>
    <w:p>
      <w:pPr>
        <w:pStyle w:val="BodyTextIndent2"/>
        <w:tabs>
          <w:tab w:val="clear" w:pos="720"/>
          <w:tab w:val="left" w:pos="752" w:leader="none"/>
        </w:tabs>
        <w:ind w:end="0"/>
        <w:jc w:val="both"/>
        <w:rPr/>
      </w:pPr>
      <w:r>
        <w:rPr>
          <w:rtl w:val="true"/>
        </w:rPr>
      </w:r>
    </w:p>
    <w:p>
      <w:pPr>
        <w:pStyle w:val="BodyTextIndent2"/>
        <w:tabs>
          <w:tab w:val="clear" w:pos="720"/>
          <w:tab w:val="left" w:pos="752" w:leader="none"/>
        </w:tabs>
        <w:ind w:start="1472" w:end="0"/>
        <w:jc w:val="both"/>
        <w:rPr/>
      </w:pPr>
      <w:r>
        <w:rPr>
          <w:rtl w:val="true"/>
        </w:rPr>
        <w:tab/>
      </w:r>
      <w:r>
        <w:rPr>
          <w:rtl w:val="true"/>
        </w:rPr>
        <w:t>כך למשל נפסק ב</w:t>
      </w:r>
      <w:hyperlink r:id="rId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6583/06</w:t>
        </w:r>
      </w:hyperlink>
      <w:r>
        <w:rPr>
          <w:rtl w:val="true"/>
        </w:rPr>
        <w:t xml:space="preserve">  </w:t>
      </w:r>
      <w:r>
        <w:rPr>
          <w:b/>
          <w:b/>
          <w:bCs/>
          <w:rtl w:val="true"/>
        </w:rPr>
        <w:t>אגא אדהאם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 xml:space="preserve">על </w:t>
      </w:r>
      <w:r>
        <w:rPr/>
        <w:t>2006</w:t>
      </w:r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), </w:t>
      </w:r>
      <w:r>
        <w:rPr/>
        <w:t>3619</w:t>
      </w:r>
      <w:r>
        <w:rPr>
          <w:rtl w:val="true"/>
        </w:rPr>
        <w:t xml:space="preserve"> ,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3620</w:t>
      </w:r>
      <w:r>
        <w:rPr>
          <w:rtl w:val="true"/>
        </w:rPr>
        <w:t>)</w:t>
      </w:r>
      <w:r>
        <w:rPr>
          <w:rtl w:val="true"/>
        </w:rPr>
        <w:t>.</w:t>
      </w:r>
    </w:p>
    <w:p>
      <w:pPr>
        <w:pStyle w:val="BodyTextIndent2"/>
        <w:tabs>
          <w:tab w:val="clear" w:pos="720"/>
          <w:tab w:val="left" w:pos="752" w:leader="none"/>
        </w:tabs>
        <w:ind w:end="0"/>
        <w:jc w:val="both"/>
        <w:rPr/>
      </w:pPr>
      <w:r>
        <w:rPr>
          <w:rtl w:val="true"/>
        </w:rPr>
      </w:r>
    </w:p>
    <w:p>
      <w:pPr>
        <w:pStyle w:val="BodyTextIndent2"/>
        <w:ind w:hanging="0" w:start="2268" w:end="1134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בתי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המשפט כבר פסקו לא אחת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 עבירה של החזקת נשק שלא כדין הינה חמורה בשל הסיכון הפוטנציאלי הגלום בה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והרי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כל הנושא נשק שלא כדין מסכן את הסובבים אותו ואת החברה כולה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כן כבר נקבע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 עבירה זו מצדיקה השתת מאסר בפועל אף על מי שזו לא הרשעתו הראשונה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למשל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קבעתי בהחלטתי ב</w:t>
      </w:r>
      <w:hyperlink r:id="rId7">
        <w:r>
          <w:rPr>
            <w:rStyle w:val="Hyperlink"/>
            <w:b/>
            <w:b/>
            <w:bCs/>
            <w:color w:val="0000FF"/>
            <w:u w:val="single"/>
            <w:rtl w:val="true"/>
          </w:rPr>
          <w:t>רע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b/>
            <w:bCs/>
            <w:color w:val="0000FF"/>
            <w:u w:val="single"/>
          </w:rPr>
          <w:t>2718/04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 דאחל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מדינת ישראל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לא פורסם</w:t>
      </w:r>
      <w:r>
        <w:rPr>
          <w:b/>
          <w:bCs/>
          <w:rtl w:val="true"/>
        </w:rPr>
        <w:t>)</w:t>
      </w:r>
      <w:r>
        <w:rPr>
          <w:b/>
          <w:bCs/>
          <w:rtl w:val="true"/>
        </w:rPr>
        <w:t>"</w:t>
      </w:r>
    </w:p>
    <w:p>
      <w:pPr>
        <w:pStyle w:val="BodyTextIndent2"/>
        <w:ind w:hanging="1440" w:start="144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BodyTextIndent2"/>
        <w:ind w:hanging="0" w:start="1440" w:end="0"/>
        <w:jc w:val="both"/>
        <w:rPr>
          <w:b/>
          <w:bCs/>
        </w:rPr>
      </w:pPr>
      <w:r>
        <w:rPr>
          <w:rtl w:val="true"/>
        </w:rPr>
        <w:t>על מערכת השיקולים נפסק</w:t>
      </w:r>
      <w:r>
        <w:rPr>
          <w:rtl w:val="true"/>
        </w:rPr>
        <w:t xml:space="preserve">: </w:t>
      </w:r>
    </w:p>
    <w:p>
      <w:pPr>
        <w:pStyle w:val="BodyTextIndent2"/>
        <w:ind w:hanging="1440" w:start="144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BodyTextIndent2"/>
        <w:ind w:hanging="0" w:start="2160" w:end="1260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בין היתר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ייתן בית המשפט דעתו לסוג הנשק המוחזק שלא כדין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לכמותו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לתכלית שלשמה הוא מוחזק ולסכנה המוחשית שייעשה בו שימוש</w:t>
      </w:r>
      <w:r>
        <w:rPr>
          <w:b/>
          <w:bCs/>
          <w:rtl w:val="true"/>
        </w:rPr>
        <w:t xml:space="preserve">" </w:t>
      </w:r>
      <w:r>
        <w:rPr>
          <w:rtl w:val="true"/>
        </w:rPr>
        <w:t>(</w:t>
      </w:r>
      <w:r>
        <w:rPr>
          <w:rtl w:val="true"/>
        </w:rPr>
        <w:t>ראה ע</w:t>
      </w:r>
      <w:r>
        <w:rPr>
          <w:rtl w:val="true"/>
        </w:rPr>
        <w:t>"</w:t>
      </w:r>
      <w:r>
        <w:rPr>
          <w:rtl w:val="true"/>
        </w:rPr>
        <w:t xml:space="preserve">פ </w:t>
      </w:r>
      <w:r>
        <w:rPr/>
        <w:t>1332/04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פס </w:t>
      </w:r>
      <w:r>
        <w:rPr>
          <w:rtl w:val="true"/>
        </w:rPr>
        <w:t>(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 נ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) </w:t>
      </w:r>
      <w:r>
        <w:rPr/>
        <w:t>541</w:t>
      </w:r>
      <w:r>
        <w:rPr>
          <w:rtl w:val="true"/>
        </w:rPr>
        <w:t xml:space="preserve">, </w:t>
      </w:r>
      <w:r>
        <w:rPr/>
        <w:t>544</w:t>
      </w:r>
      <w:r>
        <w:rPr>
          <w:rtl w:val="true"/>
        </w:rPr>
        <w:t xml:space="preserve"> (</w:t>
      </w:r>
      <w:r>
        <w:rPr/>
        <w:t>2004</w:t>
      </w:r>
      <w:r>
        <w:rPr>
          <w:rtl w:val="true"/>
        </w:rPr>
        <w:t>)).</w:t>
      </w:r>
    </w:p>
    <w:p>
      <w:pPr>
        <w:pStyle w:val="BodyTextIndent2"/>
        <w:ind w:hanging="0" w:start="2160" w:end="1260"/>
        <w:jc w:val="both"/>
        <w:rPr/>
      </w:pPr>
      <w:r>
        <w:rPr>
          <w:rtl w:val="true"/>
        </w:rPr>
      </w:r>
    </w:p>
    <w:p>
      <w:pPr>
        <w:pStyle w:val="BodyTextIndent2"/>
        <w:ind w:hanging="1440" w:start="1440" w:end="126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ולעניין החזקת לבנת חבלה נפסק </w:t>
      </w:r>
      <w:r>
        <w:rPr>
          <w:rtl w:val="true"/>
        </w:rPr>
        <w:t xml:space="preserve">: </w:t>
      </w:r>
    </w:p>
    <w:p>
      <w:pPr>
        <w:pStyle w:val="BodyTextIndent2"/>
        <w:ind w:hanging="1440" w:start="1440" w:end="1260"/>
        <w:jc w:val="both"/>
        <w:rPr/>
      </w:pPr>
      <w:r>
        <w:rPr>
          <w:rtl w:val="true"/>
        </w:rPr>
      </w:r>
    </w:p>
    <w:p>
      <w:pPr>
        <w:pStyle w:val="BodyTextIndent2"/>
        <w:ind w:hanging="1440" w:start="2192" w:end="1260"/>
        <w:jc w:val="both"/>
        <w:rPr/>
      </w:pPr>
      <w:r>
        <w:rPr>
          <w:rtl w:val="true"/>
        </w:rPr>
        <w:tab/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אין מנוס מהחמרת הענישה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וההחמרה צריך שתבוא לידי ביטוי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למצער לשם הרתעה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לבנות חבלה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שלא כפי שניסה לטעון הסניגור המלומד ביצירתיות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אינן נשק הגנתי אלא נשק התקפי רב עוצמה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שפגיעתו האפשרית מרובה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הן גם מסוגלות לפגוע בקלות בחפים מפשע</w:t>
      </w:r>
      <w:r>
        <w:rPr>
          <w:b/>
          <w:bCs/>
          <w:rtl w:val="true"/>
        </w:rPr>
        <w:t xml:space="preserve">." </w:t>
      </w:r>
      <w:r>
        <w:rPr>
          <w:rtl w:val="true"/>
        </w:rPr>
        <w:t>(</w:t>
      </w:r>
      <w:r>
        <w:rPr>
          <w:rtl w:val="true"/>
        </w:rPr>
        <w:t>ר</w:t>
      </w:r>
      <w:r>
        <w:rPr>
          <w:rtl w:val="true"/>
        </w:rPr>
        <w:t xml:space="preserve">' </w:t>
      </w:r>
      <w:hyperlink r:id="rId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8717/06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אבי טולידו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 פורסם</w:t>
      </w:r>
      <w:r>
        <w:rPr>
          <w:rtl w:val="true"/>
        </w:rPr>
        <w:t>) [</w:t>
      </w:r>
      <w:r>
        <w:rPr>
          <w:rtl w:val="true"/>
        </w:rPr>
        <w:t>פורסם בנבו</w:t>
      </w:r>
      <w:r>
        <w:rPr>
          <w:rtl w:val="true"/>
        </w:rPr>
        <w:t xml:space="preserve">], </w:t>
      </w:r>
      <w:r>
        <w:rPr/>
        <w:t>18.2.08</w:t>
      </w:r>
      <w:r>
        <w:rPr>
          <w:rtl w:val="true"/>
        </w:rPr>
        <w:t>).</w:t>
      </w:r>
    </w:p>
    <w:p>
      <w:pPr>
        <w:pStyle w:val="BodyTextIndent2"/>
        <w:ind w:hanging="1440" w:start="2192" w:end="1260"/>
        <w:jc w:val="both"/>
        <w:rPr/>
      </w:pPr>
      <w:r>
        <w:rPr>
          <w:rtl w:val="true"/>
        </w:rPr>
      </w:r>
    </w:p>
    <w:p>
      <w:pPr>
        <w:pStyle w:val="BodyTextIndent2"/>
        <w:ind w:start="1440" w:end="0"/>
        <w:jc w:val="both"/>
        <w:rPr>
          <w:u w:val="single"/>
        </w:rPr>
      </w:pPr>
      <w:r>
        <w:rPr>
          <w:u w:val="single"/>
          <w:rtl w:val="true"/>
        </w:rPr>
        <w:t>נסיבות לקולא</w:t>
      </w:r>
    </w:p>
    <w:p>
      <w:pPr>
        <w:pStyle w:val="BodyTextIndent2"/>
        <w:ind w:hanging="1440" w:start="1440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BodyTextIndent2"/>
        <w:ind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גילו הצעיר של הנאשם</w:t>
      </w:r>
      <w:r>
        <w:rPr>
          <w:rtl w:val="true"/>
        </w:rPr>
        <w:t xml:space="preserve">, </w:t>
      </w:r>
      <w:r>
        <w:rPr>
          <w:rtl w:val="true"/>
        </w:rPr>
        <w:t>עברו הנקי</w:t>
      </w:r>
      <w:r>
        <w:rPr>
          <w:rtl w:val="true"/>
        </w:rPr>
        <w:t xml:space="preserve">, </w:t>
      </w:r>
      <w:r>
        <w:rPr>
          <w:rtl w:val="true"/>
        </w:rPr>
        <w:t xml:space="preserve">וכפועל יוצא העובדה שלא ריצה מאסר </w:t>
      </w:r>
      <w:r>
        <w:rPr>
          <w:rtl w:val="true"/>
        </w:rPr>
        <w:tab/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BodyTextIndent2"/>
        <w:ind w:end="0"/>
        <w:jc w:val="both"/>
        <w:rPr/>
      </w:pPr>
      <w:r>
        <w:rPr>
          <w:rtl w:val="true"/>
        </w:rPr>
      </w:r>
    </w:p>
    <w:p>
      <w:pPr>
        <w:pStyle w:val="BodyTextIndent2"/>
        <w:ind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הודייתו של הנאשם</w:t>
      </w:r>
      <w:r>
        <w:rPr>
          <w:rtl w:val="true"/>
        </w:rPr>
        <w:t xml:space="preserve">, </w:t>
      </w:r>
      <w:r>
        <w:rPr>
          <w:rtl w:val="true"/>
        </w:rPr>
        <w:t>אשר חסכה מזמנו היקר של בית המשפט</w:t>
      </w:r>
      <w:r>
        <w:rPr>
          <w:rtl w:val="true"/>
        </w:rPr>
        <w:t xml:space="preserve">, </w:t>
      </w:r>
      <w:r>
        <w:rPr>
          <w:rtl w:val="true"/>
        </w:rPr>
        <w:t>חרטתו ונטילת האחריות למעשים</w:t>
      </w:r>
      <w:r>
        <w:rPr>
          <w:rtl w:val="true"/>
        </w:rPr>
        <w:t xml:space="preserve">. </w:t>
      </w:r>
    </w:p>
    <w:p>
      <w:pPr>
        <w:pStyle w:val="BodyTextIndent2"/>
        <w:ind w:start="1440" w:end="0"/>
        <w:jc w:val="both"/>
        <w:rPr/>
      </w:pPr>
      <w:r>
        <w:rPr>
          <w:rtl w:val="true"/>
        </w:rPr>
      </w:r>
    </w:p>
    <w:p>
      <w:pPr>
        <w:pStyle w:val="BodyTextIndent2"/>
        <w:ind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תפקודו הנורמטיבי של הנאשם</w:t>
      </w:r>
      <w:r>
        <w:rPr>
          <w:rtl w:val="true"/>
        </w:rPr>
        <w:t xml:space="preserve">, </w:t>
      </w:r>
      <w:r>
        <w:rPr>
          <w:rtl w:val="true"/>
        </w:rPr>
        <w:t>אשר בשירותו הצבאי תרם רבות לביטחונה של מדינת ישראל</w:t>
      </w:r>
      <w:r>
        <w:rPr>
          <w:rtl w:val="true"/>
        </w:rPr>
        <w:t xml:space="preserve">, </w:t>
      </w:r>
      <w:r>
        <w:rPr>
          <w:rtl w:val="true"/>
        </w:rPr>
        <w:t>ואף תרם לחברה בפעילות התנדבותית</w:t>
      </w:r>
      <w:r>
        <w:rPr>
          <w:rtl w:val="true"/>
        </w:rPr>
        <w:t xml:space="preserve">.  </w:t>
      </w:r>
    </w:p>
    <w:p>
      <w:pPr>
        <w:pStyle w:val="BodyTextIndent2"/>
        <w:ind w:start="1440" w:end="0"/>
        <w:jc w:val="both"/>
        <w:rPr/>
      </w:pPr>
      <w:r>
        <w:rPr>
          <w:rtl w:val="true"/>
        </w:rPr>
      </w:r>
    </w:p>
    <w:p>
      <w:pPr>
        <w:pStyle w:val="BodyTextIndent2"/>
        <w:ind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נסיבותיו האישיות של הנאשם</w:t>
      </w:r>
      <w:r>
        <w:rPr>
          <w:rtl w:val="true"/>
        </w:rPr>
        <w:t xml:space="preserve">, </w:t>
      </w:r>
      <w:r>
        <w:rPr>
          <w:rtl w:val="true"/>
        </w:rPr>
        <w:t>כמפורט בתסקיר</w:t>
      </w:r>
      <w:r>
        <w:rPr>
          <w:rtl w:val="true"/>
        </w:rPr>
        <w:t xml:space="preserve">, </w:t>
      </w:r>
      <w:r>
        <w:rPr>
          <w:rtl w:val="true"/>
        </w:rPr>
        <w:t>בו המלצה שלא להטיל על הנאשם מאסר מאחורי סורג ובריח</w:t>
      </w:r>
      <w:r>
        <w:rPr>
          <w:rtl w:val="true"/>
        </w:rPr>
        <w:t xml:space="preserve">. </w:t>
      </w:r>
    </w:p>
    <w:p>
      <w:pPr>
        <w:pStyle w:val="BodyTextIndent2"/>
        <w:ind w:start="1440" w:end="0"/>
        <w:jc w:val="both"/>
        <w:rPr/>
      </w:pPr>
      <w:r>
        <w:rPr>
          <w:rtl w:val="true"/>
        </w:rPr>
      </w:r>
    </w:p>
    <w:p>
      <w:pPr>
        <w:pStyle w:val="BodyTextIndent2"/>
        <w:ind w:hanging="0" w:end="0"/>
        <w:jc w:val="both"/>
        <w:rPr>
          <w:u w:val="single"/>
        </w:rPr>
      </w:pPr>
      <w:r>
        <w:rPr>
          <w:u w:val="single"/>
          <w:rtl w:val="true"/>
        </w:rPr>
        <w:t xml:space="preserve">אחידות הענישה </w:t>
      </w:r>
    </w:p>
    <w:p>
      <w:pPr>
        <w:pStyle w:val="BodyTextIndent2"/>
        <w:ind w:start="1440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BodyTextIndent2"/>
        <w:ind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 xml:space="preserve">כאמור 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נדון למאסר בפועל למשך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ועמדתי על ההבחנה שיש לערוך בינו לבין הנאשם שבפניי</w:t>
      </w:r>
      <w:r>
        <w:rPr>
          <w:rtl w:val="true"/>
        </w:rPr>
        <w:t xml:space="preserve">: </w:t>
      </w:r>
      <w:r>
        <w:rPr>
          <w:rtl w:val="true"/>
        </w:rPr>
        <w:t xml:space="preserve">חלקו של 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בביצוע העבירה הוא גדול יותר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tl w:val="true"/>
        </w:rPr>
        <w:t xml:space="preserve">, </w:t>
      </w:r>
      <w:r>
        <w:rPr>
          <w:rtl w:val="true"/>
        </w:rPr>
        <w:t>ובעברו הרשעה קודמת בעבירת אלימות</w:t>
      </w:r>
      <w:r>
        <w:rPr>
          <w:rtl w:val="true"/>
        </w:rPr>
        <w:t xml:space="preserve">. </w:t>
      </w:r>
      <w:r>
        <w:rPr>
          <w:rtl w:val="true"/>
        </w:rPr>
        <w:t>לעומת זאת לנאשם שבפניי זהו המפגש הראשון עם בית המשפט</w:t>
      </w:r>
      <w:r>
        <w:rPr>
          <w:rtl w:val="true"/>
        </w:rPr>
        <w:t xml:space="preserve">, </w:t>
      </w:r>
      <w:r>
        <w:rPr>
          <w:rtl w:val="true"/>
        </w:rPr>
        <w:t>וחלקו בביצוע העבירה מצומצם יותר</w:t>
      </w:r>
      <w:r>
        <w:rPr>
          <w:rtl w:val="true"/>
        </w:rPr>
        <w:t xml:space="preserve">. </w:t>
      </w:r>
      <w:r>
        <w:rPr>
          <w:rtl w:val="true"/>
        </w:rPr>
        <w:t>לזכות הנאשם שבפניי עומד גם השיקול של שירות צבאי כלוחם ופעילות התנדבותית</w:t>
      </w:r>
      <w:r>
        <w:rPr>
          <w:rtl w:val="true"/>
        </w:rPr>
        <w:t xml:space="preserve">. </w:t>
      </w:r>
    </w:p>
    <w:p>
      <w:pPr>
        <w:pStyle w:val="BodyTextIndent2"/>
        <w:ind w:hanging="0" w:end="0"/>
        <w:jc w:val="both"/>
        <w:rPr/>
      </w:pPr>
      <w:r>
        <w:rPr>
          <w:rtl w:val="true"/>
        </w:rPr>
      </w:r>
    </w:p>
    <w:p>
      <w:pPr>
        <w:pStyle w:val="BodyTextIndent2"/>
        <w:ind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לאחר בחינת מכלול השיקולים</w:t>
      </w:r>
      <w:r>
        <w:rPr>
          <w:rtl w:val="true"/>
        </w:rPr>
        <w:t xml:space="preserve">, </w:t>
      </w:r>
      <w:r>
        <w:rPr>
          <w:rtl w:val="true"/>
        </w:rPr>
        <w:t>סבורני כי יש לגזור על הנאשם מאסר מאחורי סורג ובריח</w:t>
      </w:r>
      <w:r>
        <w:rPr>
          <w:rtl w:val="true"/>
        </w:rPr>
        <w:t xml:space="preserve">, </w:t>
      </w:r>
      <w:r>
        <w:rPr>
          <w:rtl w:val="true"/>
        </w:rPr>
        <w:t>ולגבי אורך תקופת המאסר להתחשב בנסיבות לקולא</w:t>
      </w:r>
      <w:r>
        <w:rPr>
          <w:rtl w:val="true"/>
        </w:rPr>
        <w:t xml:space="preserve">. </w:t>
      </w:r>
      <w:r>
        <w:rPr>
          <w:rtl w:val="true"/>
        </w:rPr>
        <w:t xml:space="preserve">המלצת שירות המבחן כשמה היא </w:t>
      </w:r>
      <w:r>
        <w:rPr>
          <w:rtl w:val="true"/>
        </w:rPr>
        <w:t>–</w:t>
      </w:r>
      <w:r>
        <w:rPr>
          <w:rtl w:val="true"/>
        </w:rPr>
        <w:t xml:space="preserve"> המלצה</w:t>
      </w:r>
      <w:r>
        <w:rPr>
          <w:rtl w:val="true"/>
        </w:rPr>
        <w:t xml:space="preserve">. </w:t>
      </w:r>
      <w:r>
        <w:rPr>
          <w:rtl w:val="true"/>
        </w:rPr>
        <w:t>מדובר בכלי עזר</w:t>
      </w:r>
      <w:r>
        <w:rPr>
          <w:rtl w:val="true"/>
        </w:rPr>
        <w:t xml:space="preserve">, </w:t>
      </w:r>
      <w:r>
        <w:rPr>
          <w:rtl w:val="true"/>
        </w:rPr>
        <w:t>שאינו מהווה מדד יחידי ומכריע בהחלטתו של השופט</w:t>
      </w:r>
      <w:r>
        <w:rPr>
          <w:rtl w:val="true"/>
        </w:rPr>
        <w:t xml:space="preserve">. </w:t>
      </w:r>
      <w:r>
        <w:rPr>
          <w:rtl w:val="true"/>
        </w:rPr>
        <w:t>האחריות מוטלת על כתפי בית המשפט</w:t>
      </w:r>
      <w:r>
        <w:rPr>
          <w:rtl w:val="true"/>
        </w:rPr>
        <w:t xml:space="preserve">, </w:t>
      </w:r>
      <w:r>
        <w:rPr>
          <w:rtl w:val="true"/>
        </w:rPr>
        <w:t xml:space="preserve">אשר עליו לערוך איזון בין האינטרסים השונים </w:t>
      </w:r>
      <w:r>
        <w:rPr>
          <w:rtl w:val="true"/>
        </w:rPr>
        <w:t>(</w:t>
      </w:r>
      <w:r>
        <w:rPr>
          <w:rtl w:val="true"/>
        </w:rPr>
        <w:t>ר</w:t>
      </w:r>
      <w:r>
        <w:rPr>
          <w:rtl w:val="true"/>
        </w:rPr>
        <w:t xml:space="preserve">' </w:t>
      </w:r>
      <w:r>
        <w:rPr>
          <w:rtl w:val="true"/>
        </w:rPr>
        <w:t xml:space="preserve">למשל </w:t>
      </w:r>
      <w:hyperlink r:id="rId9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1351/10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בוחבוט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מדינת ישראל </w:t>
      </w:r>
      <w:r>
        <w:rPr>
          <w:rtl w:val="true"/>
        </w:rPr>
        <w:t>(</w:t>
      </w:r>
      <w:r>
        <w:rPr>
          <w:rtl w:val="true"/>
        </w:rPr>
        <w:t>לא פורסם</w:t>
      </w:r>
      <w:r>
        <w:rPr>
          <w:rtl w:val="true"/>
        </w:rPr>
        <w:t>, [</w:t>
      </w:r>
      <w:r>
        <w:rPr>
          <w:rtl w:val="true"/>
        </w:rPr>
        <w:t>פורסם בנבו</w:t>
      </w:r>
      <w:r>
        <w:rPr>
          <w:rtl w:val="true"/>
        </w:rPr>
        <w:t xml:space="preserve">],  </w:t>
      </w:r>
      <w:r>
        <w:rPr/>
        <w:t>25.5.10</w:t>
      </w:r>
      <w:r>
        <w:rPr>
          <w:rtl w:val="true"/>
        </w:rPr>
        <w:t xml:space="preserve">)). </w:t>
      </w:r>
      <w:r>
        <w:rPr>
          <w:rtl w:val="true"/>
        </w:rPr>
        <w:t>הטלת מאסר בעבודות שירות למי שהחזיק לבנת חבלה זמינה לשימוש</w:t>
      </w:r>
      <w:r>
        <w:rPr>
          <w:rtl w:val="true"/>
        </w:rPr>
        <w:t xml:space="preserve">, </w:t>
      </w:r>
      <w:r>
        <w:rPr>
          <w:rtl w:val="true"/>
        </w:rPr>
        <w:t>הוא עונש שאינו עולה בקנה אחד עם האינטרס הציבורי של הרתעת הנאשם והרבים</w:t>
      </w:r>
      <w:r>
        <w:rPr>
          <w:rtl w:val="true"/>
        </w:rPr>
        <w:t xml:space="preserve">, </w:t>
      </w:r>
      <w:r>
        <w:rPr>
          <w:rtl w:val="true"/>
        </w:rPr>
        <w:t>ולא יהא בו משום העברת מסר ברור בדבר הפסול והחומרה בעבירות כגון אלה</w:t>
      </w:r>
      <w:r>
        <w:rPr>
          <w:rtl w:val="true"/>
        </w:rPr>
        <w:t xml:space="preserve">. </w:t>
      </w:r>
    </w:p>
    <w:p>
      <w:pPr>
        <w:pStyle w:val="BodyTextIndent2"/>
        <w:ind w:start="1440" w:end="0"/>
        <w:jc w:val="both"/>
        <w:rPr/>
      </w:pPr>
      <w:r>
        <w:rPr>
          <w:rtl w:val="true"/>
        </w:rPr>
      </w:r>
    </w:p>
    <w:p>
      <w:pPr>
        <w:pStyle w:val="BodyTextIndent2"/>
        <w:ind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>אני מטילה על הנאשם את העונשים</w:t>
      </w:r>
      <w:r>
        <w:rPr>
          <w:rtl w:val="true"/>
        </w:rPr>
        <w:t xml:space="preserve">,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BodyTextIndent2"/>
        <w:ind w:start="1440" w:end="0"/>
        <w:jc w:val="both"/>
        <w:rPr/>
      </w:pPr>
      <w:r>
        <w:rPr>
          <w:rtl w:val="true"/>
        </w:rPr>
      </w:r>
    </w:p>
    <w:p>
      <w:pPr>
        <w:pStyle w:val="BodyTextIndent2"/>
        <w:ind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 xml:space="preserve">מאסר בפועל למשך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 xml:space="preserve">בניכוי ימי המעצר </w:t>
      </w:r>
      <w:r>
        <w:rPr/>
        <w:t>25.11.09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15.1.10</w:t>
      </w:r>
      <w:r>
        <w:rPr>
          <w:rtl w:val="true"/>
        </w:rPr>
        <w:t xml:space="preserve">. </w:t>
      </w:r>
    </w:p>
    <w:p>
      <w:pPr>
        <w:pStyle w:val="BodyTextIndent2"/>
        <w:ind w:start="1440" w:end="0"/>
        <w:jc w:val="both"/>
        <w:rPr/>
      </w:pPr>
      <w:r>
        <w:rPr>
          <w:rtl w:val="true"/>
        </w:rPr>
      </w:r>
    </w:p>
    <w:p>
      <w:pPr>
        <w:pStyle w:val="BodyTextIndent2"/>
        <w:ind w:start="216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 xml:space="preserve">מאסר על תנאי למשך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והנאשם לא יישא בעונש זה</w:t>
      </w:r>
      <w:r>
        <w:rPr>
          <w:rtl w:val="true"/>
        </w:rPr>
        <w:t xml:space="preserve">, </w:t>
      </w:r>
      <w:r>
        <w:rPr>
          <w:rtl w:val="true"/>
        </w:rPr>
        <w:t xml:space="preserve">אלא אם כן יעבור בתוך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מיום שחרורו עבירת נשק מכל מין וסוג שהוא</w:t>
      </w:r>
      <w:r>
        <w:rPr>
          <w:rtl w:val="true"/>
        </w:rPr>
        <w:t xml:space="preserve">. </w:t>
      </w:r>
    </w:p>
    <w:p>
      <w:pPr>
        <w:pStyle w:val="BodyTextIndent2"/>
        <w:ind w:end="0"/>
        <w:jc w:val="both"/>
        <w:rPr/>
      </w:pPr>
      <w:r>
        <w:rPr>
          <w:rtl w:val="true"/>
        </w:rPr>
      </w:r>
    </w:p>
    <w:p>
      <w:pPr>
        <w:pStyle w:val="BodyTextIndent2"/>
        <w:ind w:hanging="0" w:start="0" w:end="0"/>
        <w:jc w:val="both"/>
        <w:rPr/>
      </w:pPr>
      <w:r>
        <w:rPr>
          <w:rtl w:val="true"/>
        </w:rPr>
        <w:t xml:space="preserve">הנאשם יתייצב לריצוי עונשו במזכירות הפלילית של בית משפט המחוזי מחוז מרכז ביום </w:t>
      </w:r>
      <w:r>
        <w:rPr/>
        <w:t>28.8.10</w:t>
      </w:r>
      <w:r>
        <w:rPr>
          <w:rtl w:val="true"/>
        </w:rPr>
        <w:t xml:space="preserve"> </w:t>
      </w:r>
      <w:r>
        <w:rPr>
          <w:rtl w:val="true"/>
        </w:rPr>
        <w:t xml:space="preserve">עד השעה </w:t>
      </w:r>
      <w:r>
        <w:rPr/>
        <w:t>10:00</w:t>
      </w:r>
      <w:r>
        <w:rPr>
          <w:rtl w:val="true"/>
        </w:rPr>
        <w:t xml:space="preserve"> </w:t>
      </w:r>
      <w:r>
        <w:rPr>
          <w:rtl w:val="true"/>
        </w:rPr>
        <w:t>כשהוא מצויד בתעודת זהות</w:t>
      </w:r>
      <w:r>
        <w:rPr>
          <w:rtl w:val="true"/>
        </w:rPr>
        <w:t xml:space="preserve">. </w:t>
      </w:r>
    </w:p>
    <w:p>
      <w:pPr>
        <w:pStyle w:val="BodyTextIndent2"/>
        <w:ind w:hanging="0" w:start="0" w:end="0"/>
        <w:jc w:val="both"/>
        <w:rPr/>
      </w:pPr>
      <w:r>
        <w:rPr>
          <w:rtl w:val="true"/>
        </w:rPr>
        <w:t>התנאים והערבויות שהופקדו עד כה</w:t>
      </w:r>
      <w:r>
        <w:rPr>
          <w:rtl w:val="true"/>
        </w:rPr>
        <w:t xml:space="preserve">, </w:t>
      </w:r>
      <w:r>
        <w:rPr>
          <w:rtl w:val="true"/>
        </w:rPr>
        <w:t>ישמשו להבטחת התייצבות הנאשם למאסר</w:t>
      </w:r>
      <w:r>
        <w:rPr>
          <w:rtl w:val="true"/>
        </w:rPr>
        <w:t xml:space="preserve">. </w:t>
      </w:r>
    </w:p>
    <w:p>
      <w:pPr>
        <w:pStyle w:val="BodyTextIndent2"/>
        <w:ind w:hanging="0" w:start="0" w:end="0"/>
        <w:jc w:val="both"/>
        <w:rPr/>
      </w:pPr>
      <w:r>
        <w:rPr>
          <w:rtl w:val="true"/>
        </w:rPr>
      </w:r>
    </w:p>
    <w:p>
      <w:pPr>
        <w:pStyle w:val="BodyTextIndent2"/>
        <w:ind w:end="0"/>
        <w:jc w:val="both"/>
        <w:rPr/>
      </w:pPr>
      <w:r>
        <w:rPr>
          <w:rtl w:val="true"/>
        </w:rPr>
      </w:r>
    </w:p>
    <w:p>
      <w:pPr>
        <w:pStyle w:val="BodyTextIndent2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 xml:space="preserve">זכות ערעור לבית המשפט העליון בתוך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 מהיום</w:t>
      </w:r>
      <w:r>
        <w:rPr>
          <w:b/>
          <w:bCs/>
          <w:rtl w:val="true"/>
        </w:rPr>
        <w:t>.</w:t>
      </w:r>
    </w:p>
    <w:p>
      <w:pPr>
        <w:pStyle w:val="BodyTextIndent2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BodyTextIndent2"/>
        <w:ind w:start="1440" w:end="0"/>
        <w:jc w:val="both"/>
        <w:rPr>
          <w:b/>
          <w:bCs/>
          <w:sz w:val="6"/>
          <w:szCs w:val="6"/>
        </w:rPr>
      </w:pPr>
      <w:r>
        <w:rPr>
          <w:b/>
          <w:bCs/>
          <w:sz w:val="6"/>
          <w:szCs w:val="6"/>
          <w:rtl w:val="true"/>
        </w:rPr>
      </w:r>
    </w:p>
    <w:p>
      <w:pPr>
        <w:pStyle w:val="BodyTextIndent2"/>
        <w:ind w:start="1440" w:end="0"/>
        <w:jc w:val="both"/>
        <w:rPr>
          <w:rFonts w:ascii="David" w:hAnsi="David" w:cs="David"/>
          <w:sz w:val="6"/>
          <w:szCs w:val="6"/>
        </w:rPr>
      </w:pPr>
      <w:r>
        <w:rPr>
          <w:rFonts w:cs="David" w:ascii="David" w:hAnsi="David"/>
          <w:sz w:val="6"/>
          <w:szCs w:val="6"/>
          <w:rtl w:val="true"/>
        </w:rPr>
        <w:t>&lt;</w:t>
      </w:r>
      <w:r>
        <w:rPr>
          <w:rFonts w:cs="David" w:ascii="David" w:hAnsi="David"/>
          <w:sz w:val="6"/>
          <w:szCs w:val="6"/>
        </w:rPr>
        <w:t>#5#</w:t>
      </w:r>
      <w:r>
        <w:rPr>
          <w:rFonts w:cs="David" w:ascii="David" w:hAnsi="David"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/>
      </w:pPr>
      <w:r>
        <w:rPr>
          <w:vanish/>
          <w:highlight w:val="yellow"/>
          <w:rtl w:val="true"/>
        </w:rPr>
        <w:t>&lt;</w:t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ניתן והודע היום ז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אב תש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18/07/2010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eastAsia="David" w:cs="David"/>
                <w:rtl w:val="true"/>
              </w:rPr>
              <w:drawing>
                <wp:inline distT="0" distB="0" distL="0" distR="0">
                  <wp:extent cx="866775" cy="1076325"/>
                  <wp:effectExtent l="0" t="0" r="0" b="0"/>
                  <wp:docPr id="1" name="Image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76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cs="David"/>
                <w:b/>
                <w:bCs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ליאורה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ברודי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rtl w:val="true"/>
              </w:rPr>
              <w:t xml:space="preserve">,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שופטת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</w:tbl>
    <w:p>
      <w:pPr>
        <w:pStyle w:val="Normal"/>
        <w:ind w:end="0"/>
        <w:jc w:val="end"/>
        <w:rPr/>
      </w:pPr>
      <w:r>
        <w:rPr>
          <w:vanish/>
          <w:highlight w:val="yellow"/>
          <w:rtl w:val="true"/>
        </w:rPr>
        <w:t>&gt;</w:t>
      </w:r>
    </w:p>
    <w:p>
      <w:pPr>
        <w:pStyle w:val="BodyTextIndent2"/>
        <w:ind w:start="1440" w:end="0"/>
        <w:jc w:val="center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BodyTextIndent2"/>
        <w:ind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BodyTextIndent2"/>
        <w:ind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BodyTextIndent2"/>
        <w:ind w:start="1440" w:end="0"/>
        <w:jc w:val="both"/>
        <w:rPr/>
      </w:pPr>
      <w:r>
        <w:rPr>
          <w:rtl w:val="true"/>
        </w:rPr>
      </w:r>
    </w:p>
    <w:p>
      <w:pPr>
        <w:pStyle w:val="BodyTextIndent2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Heading3"/>
        <w:ind w:hanging="0" w:start="0"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12"/>
        <w:ind w:end="0"/>
        <w:jc w:val="start"/>
        <w:rPr>
          <w:b w:val="false"/>
          <w:bCs w:val="false"/>
          <w:color w:val="FFFFFF"/>
          <w:sz w:val="2"/>
          <w:szCs w:val="2"/>
          <w:u w:val="none"/>
        </w:rPr>
      </w:pPr>
      <w:r>
        <w:rPr>
          <w:b w:val="false"/>
          <w:bCs w:val="false"/>
          <w:color w:val="FFFFFF"/>
          <w:sz w:val="2"/>
          <w:szCs w:val="2"/>
          <w:u w:val="none"/>
        </w:rPr>
        <w:t>54678313</w:t>
      </w:r>
    </w:p>
    <w:p>
      <w:pPr>
        <w:pStyle w:val="David"/>
        <w:ind w:end="0"/>
        <w:jc w:val="both"/>
        <w:rPr>
          <w:b/>
          <w:bCs/>
          <w:color w:val="FFFFFF"/>
          <w:sz w:val="2"/>
          <w:szCs w:val="2"/>
          <w:u w:val="none"/>
        </w:rPr>
      </w:pPr>
      <w:r>
        <w:rPr>
          <w:b/>
          <w:bCs/>
          <w:color w:val="FFFFFF"/>
          <w:sz w:val="2"/>
          <w:szCs w:val="2"/>
          <w:u w:val="none"/>
          <w:rtl w:val="true"/>
        </w:rPr>
      </w:r>
    </w:p>
    <w:p>
      <w:pPr>
        <w:pStyle w:val="Normal"/>
        <w:bidi w:val="0"/>
        <w:spacing w:lineRule="auto" w:line="360"/>
        <w:jc w:val="both"/>
        <w:rPr>
          <w:rStyle w:val="LineNumber"/>
          <w:rFonts w:ascii="Times New Roman" w:hAnsi="Times New Roman" w:cs="David"/>
          <w:szCs w:val="24"/>
        </w:rPr>
      </w:pPr>
      <w:r>
        <w:rPr>
          <w:rFonts w:cs="Times New Roman"/>
        </w:rPr>
      </w:r>
    </w:p>
    <w:p>
      <w:pPr>
        <w:pStyle w:val="Normal"/>
        <w:spacing w:lineRule="auto" w:line="360"/>
        <w:ind w:end="0"/>
        <w:jc w:val="both"/>
        <w:rPr>
          <w:rStyle w:val="LineNumber"/>
          <w:rFonts w:cs="David"/>
          <w:szCs w:val="24"/>
        </w:rPr>
      </w:pPr>
      <w:r>
        <w:rPr>
          <w:rStyle w:val="LineNumber"/>
          <w:rFonts w:cs="David"/>
          <w:szCs w:val="24"/>
          <w:rtl w:val="true"/>
        </w:rPr>
        <w:t xml:space="preserve">  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vanish/>
          <w:highlight w:val="yellow"/>
          <w:rtl w:val="true"/>
        </w:rPr>
        <w:t>&lt;</w:t>
      </w:r>
      <w:r>
        <w:rPr>
          <w:rFonts w:ascii="Arial" w:hAnsi="Arial" w:cs="FrankRuehl"/>
          <w:sz w:val="28"/>
          <w:sz w:val="28"/>
          <w:szCs w:val="28"/>
          <w:rtl w:val="true"/>
        </w:rPr>
        <w:t>גלית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אספני</w:t>
      </w:r>
      <w:r>
        <w:rPr>
          <w:vanish/>
          <w:highlight w:val="yellow"/>
          <w:rtl w:val="true"/>
        </w:rPr>
        <w:t>&gt;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ליאורה ברודי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נוסח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מסמך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זה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כפוף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לשינויי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ניסוח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ועריכה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color w:val="0000FF"/>
          <w:sz w:val="28"/>
          <w:u w:val="single"/>
        </w:rPr>
      </w:pPr>
      <w:hyperlink r:id="rId11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sz w:val="28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sz w:val="28"/>
          <w:u w:val="single"/>
        </w:rPr>
      </w:pPr>
      <w:r>
        <w:rPr>
          <w:color w:val="0000FF"/>
          <w:sz w:val="28"/>
          <w:u w:val="single"/>
          <w:rtl w:val="true"/>
        </w:rPr>
      </w:r>
    </w:p>
    <w:sectPr>
      <w:headerReference w:type="default" r:id="rId12"/>
      <w:footerReference w:type="default" r:id="rId13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2" name="Image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מרכז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65-12-09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יהושע אקרמן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3"/>
      <w:numFmt w:val="decimal"/>
      <w:lvlText w:val="%1."/>
      <w:lvlJc w:val="end"/>
      <w:pPr>
        <w:tabs>
          <w:tab w:val="num" w:pos="720"/>
        </w:tabs>
        <w:ind w:start="720" w:hanging="360"/>
      </w:pPr>
      <w:rPr/>
    </w:lvl>
  </w:abstractNum>
  <w:abstractNum w:abstractNumId="3">
    <w:lvl w:ilvl="0">
      <w:start w:val="2"/>
      <w:numFmt w:val="decimal"/>
      <w:lvlText w:val="%1."/>
      <w:lvlJc w:val="end"/>
      <w:pPr>
        <w:tabs>
          <w:tab w:val="num" w:pos="720"/>
        </w:tabs>
        <w:ind w:start="720" w:hanging="360"/>
      </w:pPr>
      <w:rPr/>
    </w:lvl>
  </w:abstractNum>
  <w:abstractNum w:abstractNumId="4">
    <w:lvl w:ilvl="0">
      <w:start w:val="3"/>
      <w:numFmt w:val="hebrew1"/>
      <w:lvlText w:val="%1."/>
      <w:lvlJc w:val="end"/>
      <w:pPr>
        <w:tabs>
          <w:tab w:val="num" w:pos="1440"/>
        </w:tabs>
        <w:ind w:start="1440" w:hanging="69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DisplayIdentifier" w:val="65-12-09"/>
    <w:docVar w:name="caseId" w:val="32435894"/>
    <w:docVar w:name="deriveClass" w:val="NGCS.Protocol.BL.Client.ProtocolBLClientCriminal"/>
    <w:docVar w:name="firstPageNumber" w:val="54"/>
    <w:docVar w:name="MyInfo" w:val="This document was extracted from Nevo's site"/>
    <w:docVar w:name="NGCS.caseInterestID" w:val="-1"/>
    <w:docVar w:name="NGCS.caseTypeID" w:val="10048"/>
    <w:docVar w:name="NGCS.courtID" w:val="896"/>
    <w:docVar w:name="NGCS.isReservedAddressPlace" w:val="0"/>
    <w:docVar w:name="NGCS.isReservedVoucherPlace" w:val="0"/>
    <w:docVar w:name="NGCS.proceedingID" w:val="2"/>
    <w:docVar w:name="NGCS.TemplateCategoryID" w:val="14"/>
    <w:docVar w:name="NGCS.userUPN" w:val="054040928@GOV.IL"/>
    <w:docVar w:name="privellegeId" w:val="1"/>
    <w:docVar w:name="protocolId" w:val="1129468"/>
    <w:docVar w:name="releaseSign" w:val="0"/>
    <w:docVar w:name="sittingDateTime" w:val="18/07/2010 12:30     "/>
    <w:docVar w:name="sittingId" w:val="70033030"/>
    <w:docVar w:name="sittingTypeId" w:val="2"/>
    <w:docVar w:name="WordClientAssemblyName" w:val="NGCS.Protocol.BL.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styleId="WW8Num1z0">
    <w:name w:val="WW8Num1z0"/>
    <w:qFormat/>
    <w:rPr/>
  </w:style>
  <w:style w:type="character" w:styleId="WW8Num6z0">
    <w:name w:val="WW8Num6z0"/>
    <w:qFormat/>
    <w:rPr/>
  </w:style>
  <w:style w:type="character" w:styleId="WW8Num8z0">
    <w:name w:val="WW8Num8z0"/>
    <w:qFormat/>
    <w:rPr/>
  </w:style>
  <w:style w:type="character" w:styleId="WW8Num9z0">
    <w:name w:val="WW8Num9z0"/>
    <w:qFormat/>
    <w:rPr/>
  </w:style>
  <w:style w:type="character" w:styleId="WW8Num13z0">
    <w:name w:val="WW8Num13z0"/>
    <w:qFormat/>
    <w:rPr/>
  </w:style>
  <w:style w:type="character" w:styleId="WW8Num14z0">
    <w:name w:val="WW8Num14z0"/>
    <w:qFormat/>
    <w:rPr/>
  </w:style>
  <w:style w:type="character" w:styleId="WW8Num18z0">
    <w:name w:val="WW8Num18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basedOn w:val="DefaultParagraphFont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>
      <w:rFonts w:cs="Arial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ascii="Times New Roman" w:hAnsi="Times New Roman" w:eastAsia="Times New Roman" w:cs="Times New Roman"/>
      <w:sz w:val="20"/>
      <w:szCs w:val="20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Arial12">
    <w:name w:val="סגנון (לטיני) Arial ‏12 נק' מיושר לשני הצדדים מרווח בין שורות:  ..."/>
    <w:basedOn w:val="Normal"/>
    <w:qFormat/>
    <w:pPr>
      <w:spacing w:lineRule="auto" w:line="360"/>
      <w:jc w:val="both"/>
    </w:pPr>
    <w:rPr>
      <w:rFonts w:ascii="Arial" w:hAnsi="Arial" w:eastAsia="Times New Roman" w:cs="Arial"/>
    </w:rPr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BodyTextIndent2">
    <w:name w:val="Body Text Indent 2"/>
    <w:basedOn w:val="Normal"/>
    <w:qFormat/>
    <w:pPr>
      <w:spacing w:lineRule="auto" w:line="360"/>
      <w:ind w:hanging="720" w:start="720" w:end="0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case/6072945" TargetMode="External"/><Relationship Id="rId7" Type="http://schemas.openxmlformats.org/officeDocument/2006/relationships/hyperlink" Target="http://www.nevo.co.il/case/5852404" TargetMode="External"/><Relationship Id="rId8" Type="http://schemas.openxmlformats.org/officeDocument/2006/relationships/hyperlink" Target="http://www.nevo.co.il/case/6136093" TargetMode="External"/><Relationship Id="rId9" Type="http://schemas.openxmlformats.org/officeDocument/2006/relationships/hyperlink" Target="http://www.nevo.co.il/case/5763351" TargetMode="External"/><Relationship Id="rId10" Type="http://schemas.openxmlformats.org/officeDocument/2006/relationships/image" Target="media/image1.png"/><Relationship Id="rId11" Type="http://schemas.openxmlformats.org/officeDocument/2006/relationships/hyperlink" Target="http://www.nevo.co.il/advertisements/nevo-100.doc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2017-05-16T08:11:00Z</dcterms:created>
  <dc:creator> </dc:creator>
  <dc:description/>
  <cp:keywords/>
  <dc:language>en-IL</dc:language>
  <cp:lastModifiedBy>Hofit</cp:lastModifiedBy>
  <cp:lastPrinted>2010-07-18T14:25:00Z</cp:lastPrinted>
  <dcterms:modified xsi:type="dcterms:W3CDTF">2017-05-16T08:11:00Z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יהושע אקרמן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ProcID=133;209&amp;PartA=1332&amp;PartC=04</vt:lpwstr>
  </property>
  <property fmtid="{D5CDD505-2E9C-101B-9397-08002B2CF9AE}" pid="9" name="CASESLISTTMP1">
    <vt:lpwstr>6072945;5852404;6136093;5763351</vt:lpwstr>
  </property>
  <property fmtid="{D5CDD505-2E9C-101B-9397-08002B2CF9AE}" pid="10" name="CITY">
    <vt:lpwstr>מרכז</vt:lpwstr>
  </property>
  <property fmtid="{D5CDD505-2E9C-101B-9397-08002B2CF9AE}" pid="11" name="DATE">
    <vt:lpwstr>20100718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ליאורה ברודי</vt:lpwstr>
  </property>
  <property fmtid="{D5CDD505-2E9C-101B-9397-08002B2CF9AE}" pid="15" name="LAWLISTTMP1">
    <vt:lpwstr>70301/144.a</vt:lpwstr>
  </property>
  <property fmtid="{D5CDD505-2E9C-101B-9397-08002B2CF9AE}" pid="16" name="LAWYER">
    <vt:lpwstr/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65</vt:lpwstr>
  </property>
  <property fmtid="{D5CDD505-2E9C-101B-9397-08002B2CF9AE}" pid="23" name="NEWPARTB">
    <vt:lpwstr>12</vt:lpwstr>
  </property>
  <property fmtid="{D5CDD505-2E9C-101B-9397-08002B2CF9AE}" pid="24" name="NEWPARTC">
    <vt:lpwstr>09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390020100718</vt:lpwstr>
  </property>
  <property fmtid="{D5CDD505-2E9C-101B-9397-08002B2CF9AE}" pid="35" name="TYPE_N_DATE">
    <vt:lpwstr>39020100718</vt:lpwstr>
  </property>
  <property fmtid="{D5CDD505-2E9C-101B-9397-08002B2CF9AE}" pid="36" name="VOLUME">
    <vt:lpwstr/>
  </property>
  <property fmtid="{D5CDD505-2E9C-101B-9397-08002B2CF9AE}" pid="37" name="WORDNUMPAGES">
    <vt:lpwstr>8</vt:lpwstr>
  </property>
</Properties>
</file>