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בנצרת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001001/04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נחמה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21/04/2004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צפון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טאטור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יוסף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חסן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שדי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ירושלמי</w:t>
            </w:r>
            <w:r>
              <w:rPr>
                <w:b w:val="false"/>
                <w:bCs w:val="false"/>
                <w:sz w:val="24"/>
                <w:rtl w:val="true"/>
              </w:rPr>
              <w:t xml:space="preserve">. 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חסן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שדי</w:t>
            </w:r>
            <w:r>
              <w:rPr>
                <w:b w:val="false"/>
                <w:bCs w:val="false"/>
                <w:sz w:val="24"/>
                <w:rtl w:val="true"/>
              </w:rPr>
              <w:t xml:space="preserve">. 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בעצמו</w:t>
            </w:r>
            <w:r>
              <w:rPr>
                <w:b w:val="false"/>
                <w:bCs w:val="false"/>
                <w:sz w:val="24"/>
                <w:rtl w:val="true"/>
              </w:rPr>
              <w:t xml:space="preserve">.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Style12"/>
        <w:spacing w:lineRule="auto" w:line="240"/>
        <w:ind w:end="0"/>
        <w:jc w:val="both"/>
        <w:rPr>
          <w:rFonts w:ascii="FrankRuehl" w:hAnsi="FrankRuehl" w:cs="FrankRuehl"/>
          <w:b w:val="false"/>
          <w:bCs w:val="false"/>
          <w:sz w:val="28"/>
          <w:szCs w:val="28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</w:rPr>
      </w:pPr>
      <w:bookmarkStart w:id="6" w:name="סוג_מסמך"/>
      <w:bookmarkEnd w:id="6"/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ן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 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</w:rPr>
        <w:t>2</w:t>
      </w:r>
      <w:r>
        <w:rPr>
          <w:rtl w:val="true"/>
        </w:rPr>
        <w:t xml:space="preserve">. </w:t>
        <w:tab/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</w:rPr>
        <w:t>3</w:t>
      </w:r>
      <w:r>
        <w:rPr>
          <w:rtl w:val="true"/>
        </w:rPr>
        <w:t xml:space="preserve">. </w:t>
        <w:tab/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התחנה</w:t>
      </w:r>
      <w:r>
        <w:rPr>
          <w:rtl w:val="true"/>
        </w:rPr>
        <w:t xml:space="preserve">").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14/12/03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,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72371</w:t>
      </w:r>
      <w:r>
        <w:rPr>
          <w:rtl w:val="true"/>
        </w:rPr>
        <w:t xml:space="preserve"> 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הממונים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החימוש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השחיז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/>
          <w:bCs/>
          <w:highlight w:val="green"/>
          <w:rtl w:val="true"/>
        </w:rPr>
        <w:t>תסקיר</w:t>
      </w:r>
      <w:r>
        <w:rPr>
          <w:rFonts w:cs="Times New Roman"/>
          <w:b/>
          <w:b/>
          <w:bCs/>
          <w:highlight w:val="green"/>
          <w:rtl w:val="true"/>
        </w:rPr>
        <w:t xml:space="preserve"> </w:t>
      </w:r>
      <w:r>
        <w:rPr>
          <w:b/>
          <w:b/>
          <w:bCs/>
          <w:highlight w:val="green"/>
          <w:rtl w:val="true"/>
        </w:rPr>
        <w:t>קצין</w:t>
      </w:r>
      <w:r>
        <w:rPr>
          <w:rFonts w:cs="Times New Roman"/>
          <w:b/>
          <w:b/>
          <w:bCs/>
          <w:highlight w:val="green"/>
          <w:rtl w:val="true"/>
        </w:rPr>
        <w:t xml:space="preserve"> </w:t>
      </w:r>
      <w:r>
        <w:rPr>
          <w:b/>
          <w:b/>
          <w:bCs/>
          <w:highlight w:val="green"/>
          <w:rtl w:val="true"/>
        </w:rPr>
        <w:t>מבחן</w:t>
      </w:r>
      <w:r>
        <w:rPr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מסורתית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ריינה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מעורער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תפקודיו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נורמטיבים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באסרטיביות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</w:rPr>
          <w:t>383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סק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center"/>
        <w:rPr>
          <w:bCs/>
        </w:rPr>
      </w:pPr>
      <w:bookmarkStart w:id="10" w:name="LastJudge"/>
      <w:bookmarkStart w:id="11" w:name="PsakDin"/>
      <w:bookmarkEnd w:id="10"/>
      <w:bookmarkEnd w:id="11"/>
      <w:r>
        <w:rPr>
          <w:bCs/>
          <w:rtl w:val="true"/>
        </w:rPr>
        <w:t>עצמאי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והביע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סיפוק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אישי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מעבודתו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והתפתחותו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המקצועית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קיבל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אחריות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חלקית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לביצוע</w:t>
      </w:r>
    </w:p>
    <w:p>
      <w:pPr>
        <w:pStyle w:val="Normal"/>
        <w:spacing w:lineRule="auto" w:line="480"/>
        <w:ind w:end="0"/>
        <w:jc w:val="both"/>
        <w:rPr/>
      </w:pPr>
      <w:bookmarkStart w:id="12" w:name="PsakDin"/>
      <w:bookmarkEnd w:id="12"/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highlight w:val="green"/>
          <w:u w:val="single"/>
          <w:rtl w:val="true"/>
        </w:rPr>
        <w:t>טיעונים</w:t>
      </w:r>
      <w:r>
        <w:rPr>
          <w:rFonts w:cs="Times New Roman"/>
          <w:b/>
          <w:b/>
          <w:bCs/>
          <w:highlight w:val="green"/>
          <w:u w:val="single"/>
          <w:rtl w:val="true"/>
        </w:rPr>
        <w:t xml:space="preserve"> </w:t>
      </w:r>
      <w:r>
        <w:rPr>
          <w:b/>
          <w:b/>
          <w:bCs/>
          <w:highlight w:val="green"/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spacing w:lineRule="auto" w:line="480"/>
        <w:ind w:hanging="720" w:start="720" w:end="0"/>
        <w:jc w:val="both"/>
        <w:rPr>
          <w:b/>
          <w:bCs/>
          <w:color w:val="FFFFFF"/>
          <w:sz w:val="4"/>
          <w:szCs w:val="4"/>
          <w:u w:val="single"/>
        </w:rPr>
      </w:pPr>
      <w:r>
        <w:rPr>
          <w:b/>
          <w:bCs/>
          <w:color w:val="FFFFFF"/>
          <w:sz w:val="4"/>
          <w:szCs w:val="4"/>
          <w:u w:val="single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color w:val="FFFFFF"/>
          <w:sz w:val="4"/>
          <w:szCs w:val="4"/>
          <w:u w:val="single"/>
        </w:rPr>
        <w:t>5129371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המתנדבים</w:t>
      </w:r>
      <w:r>
        <w:rPr>
          <w:rtl w:val="true"/>
        </w:rPr>
        <w:t xml:space="preserve">"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מתנדבים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- </w:t>
      </w:r>
      <w:r>
        <w:rPr>
          <w:rtl w:val="true"/>
        </w:rPr>
        <w:t>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tl w:val="true"/>
        </w:rPr>
        <w:t xml:space="preserve">,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tl w:val="true"/>
        </w:rPr>
        <w:t xml:space="preserve">,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שהשחיז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tl w:val="true"/>
        </w:rPr>
        <w:t xml:space="preserve">,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להמירו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highlight w:val="green"/>
          <w:u w:val="single"/>
          <w:rtl w:val="true"/>
        </w:rPr>
        <w:t>שיקולי</w:t>
      </w:r>
      <w:r>
        <w:rPr>
          <w:rFonts w:cs="Times New Roman"/>
          <w:b/>
          <w:b/>
          <w:bCs/>
          <w:highlight w:val="green"/>
          <w:u w:val="single"/>
          <w:rtl w:val="true"/>
        </w:rPr>
        <w:t xml:space="preserve"> </w:t>
      </w:r>
      <w:r>
        <w:rPr>
          <w:b/>
          <w:b/>
          <w:bCs/>
          <w:highlight w:val="green"/>
          <w:u w:val="single"/>
          <w:rtl w:val="true"/>
        </w:rPr>
        <w:t>ענישה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tl w:val="true"/>
        </w:rPr>
        <w:t xml:space="preserve">, </w:t>
      </w:r>
      <w:r>
        <w:rPr>
          <w:rtl w:val="true"/>
        </w:rPr>
        <w:t>ומהכורח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 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פינטו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18/03/02</w:t>
      </w:r>
      <w:r>
        <w:rPr>
          <w:rtl w:val="true"/>
        </w:rPr>
        <w:t xml:space="preserve">):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910/85</w:t>
        </w:r>
      </w:hyperlink>
      <w:r>
        <w:rPr>
          <w:rtl w:val="true"/>
        </w:rPr>
        <w:t xml:space="preserve"> ,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86/2</w:t>
      </w:r>
      <w:r>
        <w:rPr>
          <w:rtl w:val="true"/>
        </w:rPr>
        <w:t xml:space="preserve"> , </w:t>
      </w:r>
      <w:r>
        <w:rPr/>
        <w:t>670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                       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    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בכדי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קבע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המחוקק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עונשים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מרתיעים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למבצעי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בנשק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כוונת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המחוקק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הינה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להרתיע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אנשים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מלבצע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העלולות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להוביל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לתוצאות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חמורות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ביותר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כשם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זכאי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שצרכי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שיקומו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ונסיבותיו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ילקחו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בחשבון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שיקולי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הענישה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כך</w:t>
      </w:r>
      <w:r>
        <w:rPr>
          <w:rFonts w:cs="Times New Roman"/>
          <w:b w:val="false"/>
          <w:b w:val="false"/>
          <w:bCs w:val="false"/>
          <w:rtl w:val="true"/>
        </w:rPr>
        <w:t xml:space="preserve">  </w:t>
      </w:r>
      <w:r>
        <w:rPr>
          <w:b w:val="false"/>
          <w:b w:val="false"/>
          <w:bCs w:val="false"/>
          <w:rtl w:val="true"/>
        </w:rPr>
        <w:t>זכאים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להגנת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אלו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העלולים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להיפגע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ממנו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מאחרים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כמותו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odyText"/>
        <w:spacing w:lineRule="auto" w:line="480"/>
        <w:ind w:end="0"/>
        <w:jc w:val="both"/>
        <w:rPr/>
      </w:pPr>
      <w:r>
        <w:rPr>
          <w:b w:val="false"/>
          <w:b w:val="false"/>
          <w:bCs w:val="false"/>
          <w:rtl w:val="true"/>
        </w:rPr>
        <w:t>ראה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</w:t>
      </w:r>
      <w:hyperlink r:id="rId2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4872/95</w:t>
        </w:r>
        <w:r>
          <w:rPr>
            <w:rStyle w:val="Hyperlink"/>
            <w:b/>
            <w:bCs/>
            <w:rtl w:val="true"/>
          </w:rPr>
          <w:t xml:space="preserve"> ,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</w:t>
        </w:r>
      </w:hyperlink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 , </w:t>
      </w:r>
      <w:r>
        <w:rPr>
          <w:b w:val="false"/>
          <w:b w:val="false"/>
          <w:bCs w:val="false"/>
          <w:rtl w:val="true"/>
        </w:rPr>
        <w:t>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נאמר</w:t>
      </w:r>
      <w:r>
        <w:rPr>
          <w:b w:val="false"/>
          <w:bCs w:val="false"/>
          <w:rtl w:val="true"/>
        </w:rPr>
        <w:t xml:space="preserve">: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b w:val="false"/>
          <w:bCs w:val="false"/>
          <w:rtl w:val="true"/>
        </w:rPr>
        <w:t xml:space="preserve">      </w:t>
      </w:r>
      <w:r>
        <w:rPr>
          <w:rtl w:val="true"/>
        </w:rPr>
        <w:t>"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להתמוטטות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מוסריות</w:t>
      </w:r>
      <w:r>
        <w:rPr>
          <w:rtl w:val="true"/>
        </w:rPr>
        <w:t xml:space="preserve">, </w:t>
      </w:r>
      <w:r>
        <w:rPr>
          <w:rtl w:val="true"/>
        </w:rPr>
        <w:t>להתפרש</w:t>
      </w:r>
      <w:r>
        <w:rPr>
          <w:rFonts w:cs="Times New Roman"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כהתפשרות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."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מעבר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לעקרונות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הכלליים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היפים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במקרה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ניתן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להתעלם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מכך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באופן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בוטה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האמון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שניתן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כמתנדב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במשטרה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ניתן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אמון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כדי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שהותר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להחזיק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נשק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במהלך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שעות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העבודה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בתחנה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במעשיו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החמורים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הפר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האמון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שניתן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והביא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לכדי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הטלת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דופי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במתנדבים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האחרים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שעושים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עבודתם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נאמנה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יפים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לעניין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הדברים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שנאמרו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בשינויים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המחויבים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בע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פ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10/46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סמל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עידן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מוריסי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התובע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הצבאי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הראשי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פורסם</w:t>
      </w:r>
      <w:r>
        <w:rPr>
          <w:b w:val="false"/>
          <w:bCs w:val="false"/>
          <w:rtl w:val="true"/>
        </w:rPr>
        <w:t>) :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b w:val="false"/>
          <w:bCs w:val="false"/>
          <w:rtl w:val="true"/>
        </w:rPr>
        <w:t xml:space="preserve">        </w:t>
      </w:r>
      <w:r>
        <w:rPr>
          <w:rtl w:val="true"/>
        </w:rPr>
        <w:t>"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ובסדר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ברקמת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ובמחוייבותו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>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בניצול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אלא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שכל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מקרה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נדון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לפי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נסיבותיו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המיוחדות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העושה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המעשה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/>
      </w:pPr>
      <w:r>
        <w:rPr>
          <w:b w:val="false"/>
          <w:b w:val="false"/>
          <w:bCs w:val="false"/>
          <w:rtl w:val="true"/>
        </w:rPr>
        <w:t>נכונים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לענין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דבריו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המשנה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לנשיא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כתוארו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אז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 w:val="false"/>
          <w:bCs w:val="false"/>
          <w:rtl w:val="true"/>
        </w:rPr>
        <w:t>השופט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אלון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</w:t>
      </w:r>
      <w:hyperlink r:id="rId2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1399/91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ליבוביץ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מז</w:t>
        </w:r>
      </w:hyperlink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Cs w:val="false"/>
        </w:rPr>
        <w:t>177</w:t>
      </w:r>
      <w:r>
        <w:rPr>
          <w:b w:val="false"/>
          <w:bCs w:val="false"/>
          <w:rtl w:val="true"/>
        </w:rPr>
        <w:t xml:space="preserve"> :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b w:val="false"/>
          <w:bCs w:val="false"/>
          <w:rtl w:val="true"/>
        </w:rPr>
        <w:t xml:space="preserve">        </w:t>
      </w: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בהרתעתו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ובהרתעם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</w:p>
    <w:p>
      <w:pPr>
        <w:pStyle w:val="BodyText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אמנם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שיקול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ההרתעה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מנחה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בדרך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כלל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לגזור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עונשים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שיהא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בהם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מסר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ברור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לשם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הגנה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הציבור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ולשם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הרתעת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אחרים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העלולים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לבצע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דומות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מסר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ההרתעה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הינו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מסר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חשוב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המהווה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נדבך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מרכזי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שיקולי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הענישה</w:t>
      </w:r>
      <w:r>
        <w:rPr>
          <w:b w:val="false"/>
          <w:bCs w:val="false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אלא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שלעיתים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חורגים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מענישה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כאשר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מתקיימות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נסיבות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מיוחדות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המצדיקות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ענישה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מתונה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וכאשר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בנקיטת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הענישה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המתונה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משום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פגיעה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באינטרס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הציבורי</w:t>
      </w:r>
      <w:r>
        <w:rPr>
          <w:b w:val="false"/>
          <w:bCs w:val="false"/>
          <w:rtl w:val="true"/>
        </w:rPr>
        <w:t xml:space="preserve">.     </w:t>
      </w:r>
    </w:p>
    <w:p>
      <w:pPr>
        <w:pStyle w:val="BodyText"/>
        <w:spacing w:lineRule="auto" w:line="480"/>
        <w:ind w:end="0"/>
        <w:jc w:val="both"/>
        <w:rPr/>
      </w:pPr>
      <w:r>
        <w:rPr>
          <w:b w:val="false"/>
          <w:b w:val="false"/>
          <w:bCs w:val="false"/>
          <w:rtl w:val="true"/>
        </w:rPr>
        <w:t>יפים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לכאן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דברי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כב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השופט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צמח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</w:t>
      </w:r>
      <w:hyperlink r:id="rId2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חיפה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238/01</w:t>
        </w:r>
      </w:hyperlink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מדינת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ישראל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חאלד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ווליד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אבו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עומר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פורסם</w:t>
      </w:r>
      <w:r>
        <w:rPr>
          <w:b w:val="false"/>
          <w:bCs w:val="false"/>
          <w:rtl w:val="true"/>
        </w:rPr>
        <w:t>) :</w:t>
      </w:r>
      <w:r>
        <w:rPr>
          <w:rtl w:val="true"/>
        </w:rPr>
        <w:t xml:space="preserve"> </w:t>
      </w:r>
    </w:p>
    <w:p>
      <w:pPr>
        <w:pStyle w:val="BodyText"/>
        <w:spacing w:lineRule="auto" w:line="48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 </w:t>
      </w:r>
      <w:r>
        <w:rPr>
          <w:rtl w:val="true"/>
        </w:rPr>
        <w:t>בעוברו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", </w:t>
      </w:r>
      <w:r>
        <w:rPr>
          <w:rtl w:val="true"/>
        </w:rPr>
        <w:t>שמסיג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בפנינו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צעיר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ללא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הרשעות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קודמות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מנהל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אורח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חיים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סביר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ואינו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דפוסי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התנהגות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עבריינים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מיוזמתו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הוא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הסגיר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עצמו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כמבצע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העבירה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וגם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לראותו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כמי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שמביע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חרטה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עמוקה</w:t>
      </w:r>
      <w:r>
        <w:rPr>
          <w:b w:val="false"/>
          <w:bCs w:val="false"/>
          <w:rtl w:val="true"/>
        </w:rPr>
        <w:t xml:space="preserve">. 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הודה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המיוחסות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לו</w:t>
      </w:r>
      <w:r>
        <w:rPr>
          <w:b w:val="false"/>
          <w:bCs w:val="false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קצין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המבחן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נמנע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מהמלצה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טיפולית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אולם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סבר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הטלת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מאסר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בפועל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עלולה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לפגוע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בכוחותיו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הנפשיים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והמליץ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שעונש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המאסר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בפועל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יומר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לעבודות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שרות</w:t>
      </w:r>
      <w:r>
        <w:rPr>
          <w:b w:val="false"/>
          <w:bCs w:val="false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spacing w:lineRule="auto" w:line="480"/>
        <w:ind w:end="0"/>
        <w:jc w:val="both"/>
        <w:rPr/>
      </w:pP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לשקול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הפאן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החינוכי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שיקומי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כאמור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בתסקיר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בעיקר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כאשר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מדובר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צעיר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שמעד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לראשונה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יש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לראות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בהתנהגותו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מרכיביה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מעידה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פעמית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אולם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אינו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רק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מחנך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ומשקם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לראות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לנגד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עיניו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הציבור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ובטחונו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ולהטיל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עונש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שירתיע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ודומיו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בהתחשב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הנסיבות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לקולא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ולחומרא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כאמור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בתסקיר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המבחן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מחד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ובהתחשב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בחומרת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העבירות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ובצורך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בשמירה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הציבור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ובטחונו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מאידך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אני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דנה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לעונשים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הבאים</w:t>
      </w:r>
      <w:r>
        <w:rPr>
          <w:b w:val="false"/>
          <w:bCs w:val="false"/>
          <w:rtl w:val="true"/>
        </w:rPr>
        <w:t xml:space="preserve">:  </w:t>
      </w:r>
    </w:p>
    <w:p>
      <w:pPr>
        <w:pStyle w:val="BodyText"/>
        <w:spacing w:lineRule="auto" w:line="4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  <w:u w:val="single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u w:val="single"/>
        </w:rPr>
        <w:t>24/5/2004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שעה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13:30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לנוחיות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פלפ</w:t>
      </w:r>
      <w:r>
        <w:rPr>
          <w:sz w:val="24"/>
          <w:rtl w:val="true"/>
        </w:rPr>
        <w:t xml:space="preserve">': </w:t>
      </w:r>
      <w:r>
        <w:rPr>
          <w:sz w:val="24"/>
        </w:rPr>
        <w:t>068/504486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 xml:space="preserve">. </w:t>
        <w:tab/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15/5/2004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שלאחריו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80"/>
        </w:rPr>
      </w:pPr>
      <w:r>
        <w:rPr>
          <w:b/>
          <w:bCs/>
          <w:color w:val="000080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lineRule="auto" w:line="480"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>מוניץ נחמה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Cs w:val="18"/>
        </w:rPr>
        <w:t>001001/04</w:t>
      </w:r>
      <w:r>
        <w:rPr>
          <w:sz w:val="16"/>
          <w:sz w:val="16"/>
          <w:szCs w:val="18"/>
          <w:rtl w:val="true"/>
        </w:rPr>
        <w:t>פ</w:t>
      </w:r>
      <w:r>
        <w:rPr>
          <w:rFonts w:cs="Times New Roman"/>
          <w:sz w:val="16"/>
          <w:sz w:val="16"/>
          <w:szCs w:val="18"/>
          <w:rtl w:val="true"/>
        </w:rPr>
        <w:t xml:space="preserve">  </w:t>
      </w:r>
      <w:r>
        <w:rPr>
          <w:sz w:val="16"/>
          <w:szCs w:val="18"/>
        </w:rPr>
        <w:t>054</w:t>
      </w:r>
      <w:r>
        <w:rPr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מרב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כהן</w:t>
      </w:r>
    </w:p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 w:val="16"/>
          <w:szCs w:val="18"/>
          <w:rtl w:val="true"/>
        </w:rPr>
        <w:t>נוסח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מסמך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זה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כפוף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לשינויי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ניסוח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/Users/liorb/Downloads/study2025-p2/m04001001-394.doc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1001/04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טאטור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start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.2." TargetMode="External"/><Relationship Id="rId7" Type="http://schemas.openxmlformats.org/officeDocument/2006/relationships/hyperlink" Target="http://www.nevo.co.il/law/70301/383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144.a.;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.2.;25" TargetMode="External"/><Relationship Id="rId12" Type="http://schemas.openxmlformats.org/officeDocument/2006/relationships/hyperlink" Target="http://www.nevo.co.il/law/70301/383;38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144.a.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.2." TargetMode="External"/><Relationship Id="rId18" Type="http://schemas.openxmlformats.org/officeDocument/2006/relationships/hyperlink" Target="http://www.nevo.co.il/law/70301/383" TargetMode="External"/><Relationship Id="rId19" Type="http://schemas.openxmlformats.org/officeDocument/2006/relationships/hyperlink" Target="http://www.nevo.co.il/law/70301/384" TargetMode="External"/><Relationship Id="rId20" Type="http://schemas.openxmlformats.org/officeDocument/2006/relationships/hyperlink" Target="http://www.nevo.co.il/case/6091216" TargetMode="External"/><Relationship Id="rId21" Type="http://schemas.openxmlformats.org/officeDocument/2006/relationships/hyperlink" Target="http://www.nevo.co.il/case/21479667" TargetMode="External"/><Relationship Id="rId22" Type="http://schemas.openxmlformats.org/officeDocument/2006/relationships/hyperlink" Target="http://www.nevo.co.il/case/17924718" TargetMode="External"/><Relationship Id="rId23" Type="http://schemas.openxmlformats.org/officeDocument/2006/relationships/hyperlink" Target="http://www.nevo.co.il/case/17911771" TargetMode="External"/><Relationship Id="rId24" Type="http://schemas.openxmlformats.org/officeDocument/2006/relationships/hyperlink" Target="http://www.nevo.co.il/case/2229013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2017-04-18T13:42:00Z</dcterms:created>
  <dc:creator> </dc:creator>
  <dc:description/>
  <cp:keywords/>
  <dc:language>en-IL</dc:language>
  <cp:lastModifiedBy>run</cp:lastModifiedBy>
  <cp:lastPrinted>2002-12-16T10:56:00Z</cp:lastPrinted>
  <dcterms:modified xsi:type="dcterms:W3CDTF">2017-04-18T13:42:00Z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טאטור יוסף</vt:lpwstr>
  </property>
  <property fmtid="{D5CDD505-2E9C-101B-9397-08002B2CF9AE}" pid="4" name="CASESLISTTMP1">
    <vt:lpwstr>6091216;17924718;17911771;2229013</vt:lpwstr>
  </property>
  <property fmtid="{D5CDD505-2E9C-101B-9397-08002B2CF9AE}" pid="5" name="CITY">
    <vt:lpwstr>נצ'</vt:lpwstr>
  </property>
  <property fmtid="{D5CDD505-2E9C-101B-9397-08002B2CF9AE}" pid="6" name="DATE">
    <vt:lpwstr>20040421</vt:lpwstr>
  </property>
  <property fmtid="{D5CDD505-2E9C-101B-9397-08002B2CF9AE}" pid="7" name="JUDGE">
    <vt:lpwstr>מוניץ  נחמה</vt:lpwstr>
  </property>
  <property fmtid="{D5CDD505-2E9C-101B-9397-08002B2CF9AE}" pid="8" name="LAWLISTTMP1">
    <vt:lpwstr>70301/025;144.a;144.b;144.b.2;383;384</vt:lpwstr>
  </property>
  <property fmtid="{D5CDD505-2E9C-101B-9397-08002B2CF9AE}" pid="9" name="LAWYER">
    <vt:lpwstr>חסן שדי;ירושלמי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1001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7</vt:lpwstr>
  </property>
</Properties>
</file>