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240"/>
        <w:ind w:end="0"/>
        <w:jc w:val="center"/>
        <w:rPr>
          <w:sz w:val="24"/>
        </w:rPr>
      </w:pPr>
      <w:r>
        <w:rPr>
          <w:sz w:val="24"/>
          <w:rtl w:val="true"/>
        </w:rPr>
      </w:r>
    </w:p>
    <w:p>
      <w:pPr>
        <w:pStyle w:val="Caption"/>
        <w:ind w:end="0"/>
        <w:jc w:val="center"/>
        <w:rPr/>
      </w:pP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</w:p>
    <w:p>
      <w:pPr>
        <w:pStyle w:val="Normal"/>
        <w:spacing w:lineRule="auto" w:line="240"/>
        <w:ind w:end="0"/>
        <w:jc w:val="center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701"/>
        <w:gridCol w:w="964"/>
        <w:gridCol w:w="1950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28"/>
                <w:szCs w:val="28"/>
              </w:rPr>
            </w:pPr>
            <w:r>
              <w:rPr>
                <w:b/>
                <w:bCs/>
                <w:spacing w:val="110"/>
                <w:sz w:val="28"/>
                <w:szCs w:val="28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בבית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בנצרת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פלילי</w:t>
            </w:r>
            <w:r>
              <w:rPr>
                <w:b/>
                <w:bCs/>
                <w:sz w:val="24"/>
                <w:szCs w:val="22"/>
                <w:rtl w:val="true"/>
              </w:rPr>
              <w:t xml:space="preserve">:  </w:t>
            </w:r>
            <w:r>
              <w:rPr>
                <w:b/>
                <w:bCs/>
                <w:sz w:val="24"/>
                <w:szCs w:val="22"/>
              </w:rPr>
              <w:t>001003/06</w:t>
            </w:r>
          </w:p>
        </w:tc>
      </w:tr>
      <w:tr>
        <w:trPr>
          <w:trHeight w:val="195" w:hRule="atLeast"/>
          <w:cantSplit w:val="true"/>
        </w:trPr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בפני</w:t>
            </w:r>
            <w:r>
              <w:rPr>
                <w:b/>
                <w:bCs/>
                <w:sz w:val="24"/>
                <w:szCs w:val="22"/>
                <w:rtl w:val="true"/>
              </w:rPr>
              <w:t>:</w:t>
            </w:r>
          </w:p>
        </w:tc>
        <w:tc>
          <w:tcPr>
            <w:tcW w:w="47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כב</w:t>
            </w:r>
            <w:r>
              <w:rPr>
                <w:b/>
                <w:bCs/>
                <w:sz w:val="24"/>
                <w:szCs w:val="22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מוניץ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2"/>
                <w:rtl w:val="true"/>
              </w:rPr>
              <w:t xml:space="preserve">  </w:t>
            </w: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נחמה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/>
                <w:bCs/>
                <w:sz w:val="24"/>
                <w:sz w:val="24"/>
                <w:szCs w:val="22"/>
                <w:rtl w:val="true"/>
              </w:rPr>
              <w:t>תאריך</w:t>
            </w:r>
            <w:r>
              <w:rPr>
                <w:b/>
                <w:bCs/>
                <w:sz w:val="24"/>
                <w:szCs w:val="22"/>
                <w:rtl w:val="true"/>
              </w:rPr>
              <w:t>:</w:t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szCs w:val="22"/>
              </w:rPr>
            </w:pPr>
            <w:r>
              <w:rPr>
                <w:b/>
                <w:bCs/>
                <w:sz w:val="24"/>
                <w:szCs w:val="22"/>
              </w:rPr>
              <w:t>24/07/2006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spacing w:lineRule="auto" w:line="240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  <w:szCs w:val="20"/>
        </w:rPr>
      </w:pPr>
      <w:r>
        <w:rPr>
          <w:b w:val="false"/>
          <w:bCs w:val="false"/>
          <w:sz w:val="24"/>
          <w:szCs w:val="20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bookmarkStart w:id="2" w:name="FirstAppellant"/>
            <w:bookmarkEnd w:id="2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אגברייה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אחמד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sz w:val="24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b w:val="false"/>
                <w:bCs w:val="false"/>
                <w:sz w:val="24"/>
                <w:szCs w:val="20"/>
              </w:rPr>
            </w:pPr>
            <w:r>
              <w:rPr>
                <w:b w:val="false"/>
                <w:bCs w:val="false"/>
                <w:sz w:val="24"/>
                <w:szCs w:val="20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4"/>
        </w:rPr>
      </w:pPr>
      <w:r>
        <w:rPr>
          <w:b w:val="false"/>
          <w:bCs w:val="false"/>
          <w:sz w:val="24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0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אריאל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כהן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/>
            </w:pPr>
            <w:r>
              <w:rPr>
                <w:sz w:val="24"/>
                <w:sz w:val="24"/>
                <w:rtl w:val="true"/>
              </w:rPr>
              <w:t>מטעם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עו</w:t>
            </w:r>
            <w:r>
              <w:rPr>
                <w:b w:val="false"/>
                <w:bCs w:val="false"/>
                <w:sz w:val="24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עריד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Style10"/>
              <w:ind w:end="0"/>
              <w:jc w:val="both"/>
              <w:rPr>
                <w:b w:val="false"/>
                <w:bCs w:val="false"/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b w:val="false"/>
                <w:bCs w:val="false"/>
                <w:sz w:val="24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בעצמו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Cs w:val="false"/>
                <w:sz w:val="18"/>
                <w:szCs w:val="18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>הובא</w:t>
            </w:r>
            <w:r>
              <w:rPr>
                <w:rFonts w:cs="Times New Roman"/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>על</w:t>
            </w:r>
            <w:r>
              <w:rPr>
                <w:rFonts w:cs="Times New Roman"/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>ידי</w:t>
            </w:r>
            <w:r>
              <w:rPr>
                <w:rFonts w:cs="Times New Roman"/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18"/>
                <w:sz w:val="18"/>
                <w:szCs w:val="18"/>
                <w:rtl w:val="true"/>
              </w:rPr>
              <w:t>הליווי</w:t>
            </w:r>
            <w:r>
              <w:rPr>
                <w:b w:val="false"/>
                <w:bCs w:val="false"/>
                <w:sz w:val="18"/>
                <w:szCs w:val="18"/>
                <w:rtl w:val="true"/>
              </w:rPr>
              <w:t>)</w:t>
            </w:r>
          </w:p>
        </w:tc>
      </w:tr>
    </w:tbl>
    <w:p>
      <w:pPr>
        <w:pStyle w:val="Style10"/>
        <w:spacing w:lineRule="auto" w:line="240"/>
        <w:ind w:end="0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28"/>
        </w:rPr>
      </w:pPr>
      <w:bookmarkStart w:id="5" w:name="סוג_מסמך"/>
      <w:bookmarkEnd w:id="5"/>
      <w:r>
        <w:rPr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 </w:t>
      </w:r>
      <w:r>
        <w:rPr>
          <w:b/>
          <w:bCs/>
          <w:sz w:val="28"/>
          <w:szCs w:val="28"/>
          <w:rtl w:val="true"/>
        </w:rPr>
        <w:t xml:space="preserve">-  </w:t>
      </w:r>
      <w:r>
        <w:rPr>
          <w:b/>
          <w:b/>
          <w:bCs/>
          <w:sz w:val="28"/>
          <w:sz w:val="28"/>
          <w:szCs w:val="28"/>
          <w:rtl w:val="true"/>
        </w:rPr>
        <w:t>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24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Heading3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:</w:t>
      </w:r>
    </w:p>
    <w:p>
      <w:pPr>
        <w:pStyle w:val="Normal"/>
        <w:spacing w:lineRule="auto" w:line="24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אגבאריה</w:t>
      </w:r>
      <w:r>
        <w:rPr>
          <w:rtl w:val="true"/>
        </w:rPr>
        <w:t xml:space="preserve">,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3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6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]</w:t>
      </w:r>
      <w:r>
        <w:rPr>
          <w:rtl w:val="true"/>
        </w:rPr>
        <w:tab/>
      </w:r>
      <w:r>
        <w:rPr>
          <w:rtl w:val="true"/>
        </w:rPr>
        <w:t>המסתייע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התעבורה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)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1961</w:t>
      </w:r>
      <w:r>
        <w:rPr>
          <w:rtl w:val="true"/>
        </w:rPr>
        <w:t>.</w:t>
      </w:r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8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275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rFonts w:ascii="FrankRuehl" w:hAnsi="FrankRuehl" w:cs="FrankRuehl"/>
          <w:sz w:val="24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bookmarkStart w:id="9" w:name="ABSTRACT_START"/>
      <w:bookmarkEnd w:id="9"/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3/1/06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50.39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Fonts w:cs="Times New Roman"/>
          <w:rtl w:val="true"/>
        </w:rPr>
        <w:t xml:space="preserve"> </w:t>
      </w:r>
      <w:bookmarkStart w:id="10" w:name="ABSTRACT_END"/>
      <w:bookmarkEnd w:id="10"/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הסם</w:t>
      </w:r>
      <w:r>
        <w:rPr>
          <w:rtl w:val="true"/>
        </w:rPr>
        <w:t xml:space="preserve">")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מאום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הונדה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/>
        <w:t>08-024-91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23:30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והתפרע</w:t>
      </w:r>
      <w:r>
        <w:rPr>
          <w:rtl w:val="true"/>
        </w:rPr>
        <w:t xml:space="preserve">.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4/1/06</w:t>
      </w:r>
      <w:r>
        <w:rPr>
          <w:rtl w:val="true"/>
        </w:rPr>
        <w:t xml:space="preserve">, </w:t>
      </w:r>
      <w:r>
        <w:rPr>
          <w:rtl w:val="true"/>
        </w:rPr>
        <w:t>נתפסה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5.56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7.65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טיעוני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</w:p>
    <w:p>
      <w:pPr>
        <w:pStyle w:val="Heading4"/>
        <w:ind w:end="0"/>
        <w:jc w:val="both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BodyTextIndent"/>
        <w:ind w:end="0"/>
        <w:jc w:val="both"/>
        <w:rPr/>
      </w:pPr>
      <w:bookmarkStart w:id="11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11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בהירואין</w:t>
      </w:r>
      <w:r>
        <w:rPr>
          <w:rtl w:val="true"/>
        </w:rPr>
        <w:t xml:space="preserve">.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שמקומו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בתכליתה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והודאה</w:t>
      </w:r>
      <w:r>
        <w:rPr>
          <w:rtl w:val="true"/>
        </w:rPr>
        <w:t xml:space="preserve">,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>.</w:t>
      </w:r>
    </w:p>
    <w:p>
      <w:pPr>
        <w:pStyle w:val="BodyTextIndent"/>
        <w:ind w:end="0"/>
        <w:jc w:val="both"/>
        <w:rPr/>
      </w:pPr>
      <w:r>
        <w:rPr>
          <w:rtl w:val="true"/>
        </w:rPr>
        <w:t>התסקירים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חזרתית</w:t>
      </w:r>
      <w:r>
        <w:rPr>
          <w:rtl w:val="true"/>
        </w:rPr>
        <w:t xml:space="preserve">,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מטושטשים</w:t>
      </w:r>
      <w:r>
        <w:rPr>
          <w:rtl w:val="true"/>
        </w:rPr>
        <w:t xml:space="preserve">, </w:t>
      </w:r>
      <w:r>
        <w:rPr>
          <w:rtl w:val="true"/>
        </w:rPr>
        <w:t>וליקוי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.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והצריך</w:t>
      </w:r>
      <w:r>
        <w:rPr>
          <w:rtl w:val="true"/>
        </w:rPr>
        <w:t>.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לטבריה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מנימלית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.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אום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הלידות</w:t>
      </w:r>
      <w:r>
        <w:rPr>
          <w:rtl w:val="true"/>
        </w:rPr>
        <w:t xml:space="preserve">,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בבנים</w:t>
      </w:r>
      <w:r>
        <w:rPr>
          <w:rtl w:val="true"/>
        </w:rPr>
        <w:t xml:space="preserve">.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אמצעים</w:t>
      </w:r>
      <w:r>
        <w:rPr>
          <w:rtl w:val="true"/>
        </w:rPr>
        <w:t xml:space="preserve">,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, </w:t>
      </w:r>
      <w:r>
        <w:rPr>
          <w:rtl w:val="true"/>
        </w:rPr>
        <w:t>והאם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מטבח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בניין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241/02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ווינגיט</w:t>
      </w:r>
      <w:r>
        <w:rPr>
          <w:rtl w:val="true"/>
        </w:rPr>
        <w:t xml:space="preserve">"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הוריים</w:t>
      </w:r>
      <w:r>
        <w:rPr>
          <w:rtl w:val="true"/>
        </w:rPr>
        <w:t xml:space="preserve">.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. </w:t>
      </w:r>
      <w:r>
        <w:rPr>
          <w:rtl w:val="true"/>
        </w:rPr>
        <w:t>התפקידים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כמתבגר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, </w:t>
      </w:r>
      <w:r>
        <w:rPr>
          <w:rtl w:val="true"/>
        </w:rPr>
        <w:t>וניכר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26/6/06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חזרתית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הפורמלית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24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ומחמירה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חותרות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, </w:t>
      </w:r>
      <w:r>
        <w:rPr>
          <w:rtl w:val="true"/>
        </w:rPr>
        <w:t>כחברה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תפוצתו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ונפשם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, </w:t>
      </w:r>
      <w:hyperlink r:id="rId25">
        <w:r>
          <w:rPr>
            <w:rStyle w:val="Hyperlink"/>
            <w:color w:val="0000FF"/>
            <w:u w:val="single"/>
            <w:rtl w:val="true"/>
          </w:rPr>
          <w:t>בע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332/87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בן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און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מב</w:t>
        </w:r>
        <w:r>
          <w:rPr>
            <w:rStyle w:val="Hyperlink"/>
            <w:color w:val="0000FF"/>
            <w:u w:val="single"/>
            <w:rtl w:val="true"/>
          </w:rPr>
          <w:t>'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382</w:t>
        </w:r>
      </w:hyperlink>
      <w:r>
        <w:rPr>
          <w:rtl w:val="true"/>
        </w:rPr>
        <w:t xml:space="preserve">: </w:t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ממחקריהם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ומדיבריהם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לבריאותה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מקורבנותיה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נופלים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מפגיעתה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בביצועו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המתכננים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הספקתו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ומשלחים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נסתרות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כשלידם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וסוכני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...".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ייענשו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6029/03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גולן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שמאי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נח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), </w:t>
      </w:r>
      <w:r>
        <w:rPr/>
        <w:t>734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738-739</w:t>
      </w:r>
      <w:r>
        <w:rPr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חשין</w:t>
      </w:r>
      <w:r>
        <w:rPr>
          <w:rtl w:val="true"/>
        </w:rPr>
        <w:t>:</w:t>
      </w:r>
    </w:p>
    <w:p>
      <w:pPr>
        <w:pStyle w:val="Normal"/>
        <w:spacing w:lineRule="auto" w:line="480"/>
        <w:ind w:start="144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פה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ישתלבו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להדברת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למחזיקי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לשימוש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עצמי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קרי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למשולבים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מייחסים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מלשלוח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ההפצה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ובצורכי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ההרתעה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הדגשנו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המצערת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שנוצרה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אצלנו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בהירואין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ולשאוף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המקסימלי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48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tl w:val="true"/>
        </w:rPr>
        <w:t xml:space="preserve">.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למיניהם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דחלה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99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), </w:t>
      </w:r>
      <w:r>
        <w:rPr/>
        <w:t>1574</w:t>
      </w:r>
      <w:r>
        <w:rPr>
          <w:rtl w:val="true"/>
        </w:rPr>
        <w:t xml:space="preserve">).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tl w:val="true"/>
        </w:rPr>
        <w:t xml:space="preserve">: </w:t>
      </w:r>
      <w:hyperlink r:id="rId28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1281/05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מחאג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2319</w:t>
      </w:r>
      <w:r>
        <w:rPr>
          <w:rtl w:val="true"/>
        </w:rPr>
        <w:t xml:space="preserve">; 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5066/98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).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.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העצמאיות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center"/>
        <w:rPr>
          <w:bCs/>
        </w:rPr>
      </w:pPr>
      <w:bookmarkStart w:id="12" w:name="LastJudge"/>
      <w:bookmarkStart w:id="13" w:name="PsakDin"/>
      <w:bookmarkEnd w:id="12"/>
      <w:bookmarkEnd w:id="13"/>
      <w:r>
        <w:rPr>
          <w:bCs/>
          <w:rtl w:val="true"/>
        </w:rPr>
        <w:t>להביא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בחשבון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את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הנזק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העצום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שהוא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מביא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על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החברה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כולה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בנוסף</w:t>
      </w:r>
      <w:r>
        <w:rPr>
          <w:bCs/>
          <w:rtl w:val="true"/>
        </w:rPr>
        <w:t xml:space="preserve">, </w:t>
      </w:r>
      <w:r>
        <w:rPr>
          <w:bCs/>
          <w:rtl w:val="true"/>
        </w:rPr>
        <w:t>נמצאה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בחדרו</w:t>
      </w:r>
    </w:p>
    <w:p>
      <w:pPr>
        <w:pStyle w:val="Normal"/>
        <w:spacing w:lineRule="auto" w:line="480"/>
        <w:ind w:start="720" w:end="0"/>
        <w:jc w:val="both"/>
        <w:rPr/>
      </w:pPr>
      <w:bookmarkStart w:id="14" w:name="PsakDin"/>
      <w:bookmarkEnd w:id="14"/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tl w:val="true"/>
        </w:rPr>
        <w:t xml:space="preserve">, </w:t>
      </w:r>
      <w:r>
        <w:rPr>
          <w:rtl w:val="true"/>
        </w:rPr>
        <w:t>ולפרנסת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האמצעים</w:t>
      </w:r>
      <w:r>
        <w:rPr>
          <w:rtl w:val="true"/>
        </w:rPr>
        <w:t xml:space="preserve">,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במעשיהו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במלאכה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Fonts w:cs="Times New Roman"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</w:p>
    <w:p>
      <w:pPr>
        <w:pStyle w:val="Normal"/>
        <w:spacing w:lineRule="auto" w:line="48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</w:t>
      </w:r>
      <w:r>
        <w:rPr>
          <w:b/>
          <w:bCs/>
          <w:u w:val="single"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ab/>
      </w:r>
    </w:p>
    <w:p>
      <w:pPr>
        <w:pStyle w:val="BodyText"/>
        <w:ind w:start="72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תגמולי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. </w:t>
      </w:r>
    </w:p>
    <w:p>
      <w:pPr>
        <w:pStyle w:val="BodyText"/>
        <w:spacing w:lineRule="auto" w:line="24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BodyText"/>
        <w:ind w:firstLine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</w:p>
    <w:p>
      <w:pPr>
        <w:pStyle w:val="BodyText"/>
        <w:spacing w:lineRule="auto" w:line="240"/>
        <w:ind w:hanging="720" w:start="720" w:end="0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BodyText"/>
        <w:ind w:hanging="720" w:start="144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241/02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15/4/05</w:t>
      </w:r>
      <w:r>
        <w:rPr>
          <w:rtl w:val="true"/>
        </w:rPr>
        <w:t xml:space="preserve">,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BodyText"/>
        <w:spacing w:lineRule="auto" w:line="240"/>
        <w:ind w:hanging="720" w:start="1440" w:end="0"/>
        <w:jc w:val="both"/>
        <w:rPr/>
      </w:pPr>
      <w:r>
        <w:rPr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הבהר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BodyText"/>
        <w:spacing w:lineRule="auto" w:line="24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"/>
        <w:ind w:hanging="720" w:start="144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240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)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מתום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/>
        <w:t>24.7.06</w:t>
      </w:r>
      <w:r>
        <w:rPr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 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ab/>
        <w:tab/>
        <w:tab/>
        <w:tab/>
        <w:tab/>
        <w:tab/>
        <w:t>_____________________</w:t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48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מוניץ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 </w:t>
      </w:r>
      <w:r>
        <w:rPr>
          <w:color w:val="000000"/>
          <w:sz w:val="22"/>
          <w:sz w:val="22"/>
          <w:szCs w:val="22"/>
          <w:rtl w:val="true"/>
        </w:rPr>
        <w:t>נחמה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54678313-1003/06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                                                                                     </w:t>
      </w:r>
      <w:r>
        <w:rPr>
          <w:rtl w:val="true"/>
        </w:rPr>
        <w:t>נחמה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שופטת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end="0"/>
        <w:jc w:val="start"/>
        <w:rPr>
          <w:color w:val="000000"/>
          <w:szCs w:val="20"/>
        </w:rPr>
      </w:pPr>
      <w:r>
        <w:rPr>
          <w:szCs w:val="20"/>
          <w:rtl w:val="true"/>
        </w:rPr>
        <w:t>פ</w:t>
      </w:r>
      <w:r>
        <w:rPr>
          <w:szCs w:val="20"/>
        </w:rPr>
        <w:t>001003/06</w:t>
      </w:r>
      <w:r>
        <w:rPr>
          <w:szCs w:val="20"/>
          <w:rtl w:val="true"/>
        </w:rPr>
        <w:t>מירב</w:t>
      </w:r>
    </w:p>
    <w:p>
      <w:pPr>
        <w:pStyle w:val="Normal"/>
        <w:spacing w:lineRule="auto" w:line="480"/>
        <w:ind w:end="0"/>
        <w:jc w:val="start"/>
        <w:rPr>
          <w:color w:val="000000"/>
          <w:szCs w:val="20"/>
        </w:rPr>
      </w:pPr>
      <w:r>
        <w:rPr>
          <w:color w:val="000000"/>
          <w:szCs w:val="20"/>
          <w:rtl w:val="true"/>
        </w:rPr>
        <w:t>נוסח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מסמך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זה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כפוף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לשינויי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ניסוח</w:t>
      </w:r>
      <w:r>
        <w:rPr>
          <w:rFonts w:cs="Times New Roman"/>
          <w:color w:val="000000"/>
          <w:szCs w:val="20"/>
          <w:rtl w:val="true"/>
        </w:rPr>
        <w:t xml:space="preserve"> </w:t>
      </w:r>
      <w:r>
        <w:rPr>
          <w:color w:val="000000"/>
          <w:szCs w:val="20"/>
          <w:rtl w:val="true"/>
        </w:rPr>
        <w:t>ועריכה</w:t>
      </w:r>
    </w:p>
    <w:sectPr>
      <w:headerReference w:type="default" r:id="rId31"/>
      <w:footerReference w:type="default" r:id="rId3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9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/Users/liorb/Downloads/study2025-p2/m06001003-220.doc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1003/06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אגברייה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480"/>
      <w:ind w:hanging="0" w:start="0" w:end="0"/>
      <w:jc w:val="both"/>
    </w:pPr>
    <w:rPr>
      <w:sz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spacing w:lineRule="auto" w:line="240"/>
      <w:ind w:hanging="0" w:start="0" w:end="0"/>
      <w:jc w:val="center"/>
    </w:pPr>
    <w:rPr>
      <w:b/>
      <w:bCs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480"/>
      <w:ind w:hanging="0" w:start="720" w:end="0"/>
      <w:jc w:val="both"/>
    </w:pPr>
    <w:rPr>
      <w:sz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/7.a" TargetMode="External"/><Relationship Id="rId3" Type="http://schemas.openxmlformats.org/officeDocument/2006/relationships/hyperlink" Target="http://www.nevo.co.il/law/4216/7.c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4216/13" TargetMode="External"/><Relationship Id="rId6" Type="http://schemas.openxmlformats.org/officeDocument/2006/relationships/hyperlink" Target="http://www.nevo.co.il/law/4216/19a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5227/43" TargetMode="External"/><Relationship Id="rId12" Type="http://schemas.openxmlformats.org/officeDocument/2006/relationships/hyperlink" Target="http://www.nevo.co.il/law/5227" TargetMode="External"/><Relationship Id="rId13" Type="http://schemas.openxmlformats.org/officeDocument/2006/relationships/hyperlink" Target="http://www.nevo.co.il/law/4216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/13" TargetMode="External"/><Relationship Id="rId17" Type="http://schemas.openxmlformats.org/officeDocument/2006/relationships/hyperlink" Target="http://www.nevo.co.il/law/4216/19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144.a" TargetMode="External"/><Relationship Id="rId21" Type="http://schemas.openxmlformats.org/officeDocument/2006/relationships/hyperlink" Target="http://www.nevo.co.il/law/70301/275" TargetMode="External"/><Relationship Id="rId22" Type="http://schemas.openxmlformats.org/officeDocument/2006/relationships/hyperlink" Target="http://www.nevo.co.il/law/5227" TargetMode="External"/><Relationship Id="rId23" Type="http://schemas.openxmlformats.org/officeDocument/2006/relationships/hyperlink" Target="http://www.nevo.co.il/law/5227/43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case/17942553" TargetMode="External"/><Relationship Id="rId26" Type="http://schemas.openxmlformats.org/officeDocument/2006/relationships/hyperlink" Target="http://www.nevo.co.il/case/5786821" TargetMode="External"/><Relationship Id="rId27" Type="http://schemas.openxmlformats.org/officeDocument/2006/relationships/hyperlink" Target="http://www.nevo.co.il/case/5991408" TargetMode="External"/><Relationship Id="rId28" Type="http://schemas.openxmlformats.org/officeDocument/2006/relationships/hyperlink" Target="http://www.nevo.co.il/case/5758567" TargetMode="External"/><Relationship Id="rId29" Type="http://schemas.openxmlformats.org/officeDocument/2006/relationships/hyperlink" Target="http://www.nevo.co.il/case/5991408" TargetMode="External"/><Relationship Id="rId30" Type="http://schemas.openxmlformats.org/officeDocument/2006/relationships/hyperlink" Target="http://www.nevo.co.il/law/4216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2016-10-27T14:56:00Z</dcterms:created>
  <dc:creator>סתיו צולר</dc:creator>
  <dc:description/>
  <cp:keywords/>
  <dc:language>en-IL</dc:language>
  <cp:lastModifiedBy>hofit</cp:lastModifiedBy>
  <cp:lastPrinted>2002-12-16T11:56:00Z</cp:lastPrinted>
  <dcterms:modified xsi:type="dcterms:W3CDTF">2016-10-27T14:56:00Z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אגברייה אחמד</vt:lpwstr>
  </property>
  <property fmtid="{D5CDD505-2E9C-101B-9397-08002B2CF9AE}" pid="4" name="CASESLISTTMP1">
    <vt:lpwstr>17942553;5786821;5991408:2;5758567</vt:lpwstr>
  </property>
  <property fmtid="{D5CDD505-2E9C-101B-9397-08002B2CF9AE}" pid="5" name="CITY">
    <vt:lpwstr>נצ'</vt:lpwstr>
  </property>
  <property fmtid="{D5CDD505-2E9C-101B-9397-08002B2CF9AE}" pid="6" name="DATE">
    <vt:lpwstr>20060724</vt:lpwstr>
  </property>
  <property fmtid="{D5CDD505-2E9C-101B-9397-08002B2CF9AE}" pid="7" name="ISABSTRACT">
    <vt:lpwstr>Y</vt:lpwstr>
  </property>
  <property fmtid="{D5CDD505-2E9C-101B-9397-08002B2CF9AE}" pid="8" name="JUDGE">
    <vt:lpwstr>מוניץ  נחמה</vt:lpwstr>
  </property>
  <property fmtid="{D5CDD505-2E9C-101B-9397-08002B2CF9AE}" pid="9" name="LAWLISTTMP1">
    <vt:lpwstr>4216/007.a;007.c;013;019a</vt:lpwstr>
  </property>
  <property fmtid="{D5CDD505-2E9C-101B-9397-08002B2CF9AE}" pid="10" name="LAWLISTTMP2">
    <vt:lpwstr>70301/025;144.a;275</vt:lpwstr>
  </property>
  <property fmtid="{D5CDD505-2E9C-101B-9397-08002B2CF9AE}" pid="11" name="LAWLISTTMP3">
    <vt:lpwstr>5227/043</vt:lpwstr>
  </property>
  <property fmtid="{D5CDD505-2E9C-101B-9397-08002B2CF9AE}" pid="12" name="LAWYER">
    <vt:lpwstr>עריד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</vt:lpwstr>
  </property>
  <property fmtid="{D5CDD505-2E9C-101B-9397-08002B2CF9AE}" pid="29" name="PROCNUM">
    <vt:lpwstr>1003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8</vt:lpwstr>
  </property>
</Properties>
</file>