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none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001042/04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07/12/2004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er"/>
        <w:ind w:end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סרגי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מטניק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לרנר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פרוינד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stJudge"/>
      <w:bookmarkStart w:id="6" w:name="LawTable"/>
      <w:bookmarkStart w:id="7" w:name="PsakDin"/>
      <w:bookmarkStart w:id="8" w:name="סוג_מסמך"/>
      <w:bookmarkStart w:id="9" w:name="LastJudge"/>
      <w:bookmarkStart w:id="10" w:name="LawTable"/>
      <w:bookmarkStart w:id="11" w:name="PsakDin"/>
      <w:bookmarkStart w:id="12" w:name="סוג_מסמך"/>
      <w:bookmarkEnd w:id="9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auto" w:line="360"/>
        <w:ind w:end="0"/>
        <w:jc w:val="start"/>
        <w:rPr/>
      </w:pPr>
      <w:bookmarkStart w:id="17" w:name="ABSTRACT_START"/>
      <w:bookmarkEnd w:id="1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8.9.04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FF0000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8" w:name="ABSTRACT_END"/>
      <w:bookmarkEnd w:id="18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ינדדזה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השכן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15.8.02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972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,</w:t>
        </w:r>
        <w:r>
          <w:rPr>
            <w:rStyle w:val="Hyperlink"/>
            <w:b/>
            <w:bCs/>
            <w:color w:val="0000FF"/>
            <w:u w:val="single"/>
          </w:rPr>
          <w:t>910/85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אברהים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86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670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1332/04</w:t>
        </w:r>
      </w:hyperlink>
      <w:r>
        <w:rPr>
          <w:b/>
          <w:bCs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יצחק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, 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228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229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 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625/82</w:t>
        </w:r>
        <w:r>
          <w:rPr>
            <w:rStyle w:val="Hyperlink"/>
            <w:b/>
            <w:bCs/>
            <w:rtl w:val="true"/>
          </w:rPr>
          <w:t xml:space="preserve"> - </w:t>
        </w:r>
        <w:r>
          <w:rPr>
            <w:rStyle w:val="Hyperlink"/>
            <w:b/>
            <w:b/>
            <w:bCs/>
            <w:rtl w:val="true"/>
          </w:rPr>
          <w:t>חלמי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מוך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668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לשכנו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סוגו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חיפה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3705/03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גיא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342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חיפה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336/01</w:t>
      </w:r>
      <w:r>
        <w:rPr>
          <w:b/>
          <w:bCs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באסם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1821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ממופנמותו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. </w:t>
      </w:r>
      <w:r>
        <w:rPr>
          <w:rtl w:val="true"/>
        </w:rPr>
        <w:t>משנמנע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נדחה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29.12.04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9.30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מועד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Heading6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: </w:t>
      </w:r>
      <w:r>
        <w:rPr/>
        <w:t>0545207567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</w:rPr>
      </w:pPr>
      <w:bookmarkStart w:id="19" w:name="Decision1"/>
      <w:bookmarkEnd w:id="19"/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בכסלו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בדצמבר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2004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36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bidiVisual w:val="true"/>
        <w:tblW w:w="30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16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Cs w:val="20"/>
        </w:rPr>
      </w:pPr>
      <w:bookmarkStart w:id="20" w:name="Decision1"/>
      <w:bookmarkEnd w:id="20"/>
      <w:r>
        <w:rPr>
          <w:szCs w:val="20"/>
          <w:rtl w:val="true"/>
        </w:rPr>
        <w:t>פ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001042/04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חנה</w:t>
      </w:r>
      <w:r>
        <w:rPr>
          <w:rFonts w:cs="Times New Roman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נוסח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מסמך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זה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כפוף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לשינויי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ניסוח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/Users/liorb/Downloads/study2025-p2/m04001042-739.doc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1042/04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סרגי בן יעקב מטניק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ind w:hanging="720" w:start="720" w:end="0"/>
      <w:jc w:val="both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case/21479667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case/306017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2017-04-18T13:44:00Z</dcterms:created>
  <dc:creator> </dc:creator>
  <dc:description/>
  <cp:keywords/>
  <dc:language>en-IL</dc:language>
  <cp:lastModifiedBy>run</cp:lastModifiedBy>
  <dcterms:modified xsi:type="dcterms:W3CDTF">2017-04-18T13:44:00Z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סרגי בן יעקב מטניק</vt:lpwstr>
  </property>
  <property fmtid="{D5CDD505-2E9C-101B-9397-08002B2CF9AE}" pid="4" name="CASESLISTTMP1">
    <vt:lpwstr>21479667;5762686;17929065;306017</vt:lpwstr>
  </property>
  <property fmtid="{D5CDD505-2E9C-101B-9397-08002B2CF9AE}" pid="5" name="CITY">
    <vt:lpwstr>נצ'</vt:lpwstr>
  </property>
  <property fmtid="{D5CDD505-2E9C-101B-9397-08002B2CF9AE}" pid="6" name="DATE">
    <vt:lpwstr>20041207</vt:lpwstr>
  </property>
  <property fmtid="{D5CDD505-2E9C-101B-9397-08002B2CF9AE}" pid="7" name="ISABSTRACT">
    <vt:lpwstr>Y</vt:lpwstr>
  </property>
  <property fmtid="{D5CDD505-2E9C-101B-9397-08002B2CF9AE}" pid="8" name="JUDGE">
    <vt:lpwstr>הלמן אסתר</vt:lpwstr>
  </property>
  <property fmtid="{D5CDD505-2E9C-101B-9397-08002B2CF9AE}" pid="9" name="LAWLISTTMP1">
    <vt:lpwstr>70301/144.b;144.b2;384</vt:lpwstr>
  </property>
  <property fmtid="{D5CDD505-2E9C-101B-9397-08002B2CF9AE}" pid="10" name="LAWYER">
    <vt:lpwstr>אור לרנר;ליזי פרוינד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1042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