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b/>
          <w:bCs/>
        </w:rPr>
      </w:pPr>
      <w:bookmarkStart w:id="0" w:name="FirstLawyer"/>
      <w:bookmarkEnd w:id="0"/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822"/>
        <w:gridCol w:w="2091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9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001170/04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אמינוף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15/11/2006</w:t>
            </w:r>
          </w:p>
        </w:tc>
      </w:tr>
    </w:tbl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באהאאלדין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באהא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עבדאלג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מוטלק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אזי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לרנר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ערפאת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הליווי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6"/>
        <w:spacing w:lineRule="auto" w:line="360"/>
        <w:ind w:end="0"/>
        <w:jc w:val="center"/>
        <w:rPr>
          <w:u w:val="none"/>
        </w:rPr>
      </w:pPr>
      <w:bookmarkStart w:id="5" w:name="סוג_מסמך"/>
      <w:bookmarkEnd w:id="5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נגד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1</w:t>
      </w:r>
    </w:p>
    <w:p>
      <w:pPr>
        <w:pStyle w:val="Normal"/>
        <w:spacing w:lineRule="auto" w:line="360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6" w:name="FirstLawyer"/>
      <w:bookmarkStart w:id="7" w:name="FirstLawyer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</w:t>
      </w:r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bookmarkStart w:id="11" w:name="PsakDin"/>
      <w:bookmarkStart w:id="12" w:name="ABSTRACT_START"/>
      <w:bookmarkEnd w:id="12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firstLine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1"/>
      <w:bookmarkEnd w:id="14"/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3/7/2006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3/7/2006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4/10/2006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tl w:val="true"/>
        </w:rPr>
        <w:t>:</w:t>
      </w:r>
    </w:p>
    <w:p>
      <w:pPr>
        <w:pStyle w:val="BodyTextIndent"/>
        <w:ind w:start="720" w:end="0"/>
        <w:jc w:val="both"/>
        <w:rPr>
          <w:sz w:val="20"/>
        </w:rPr>
      </w:pP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התיק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4/12/2004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20-455-19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הרכב</w:t>
      </w:r>
      <w:r>
        <w:rPr>
          <w:rtl w:val="true"/>
        </w:rPr>
        <w:t xml:space="preserve">);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עימאד</w:t>
      </w:r>
      <w:r>
        <w:rPr>
          <w:rtl w:val="true"/>
        </w:rPr>
        <w:t xml:space="preserve">) </w:t>
      </w:r>
      <w:r>
        <w:rPr>
          <w:rtl w:val="true"/>
        </w:rPr>
        <w:t>ובמושב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סאהר</w:t>
      </w:r>
      <w:r>
        <w:rPr>
          <w:rtl w:val="true"/>
        </w:rPr>
        <w:t>), (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האחרים</w:t>
      </w:r>
      <w:r>
        <w:rPr>
          <w:rtl w:val="true"/>
        </w:rPr>
        <w:t xml:space="preserve">).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הקשר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לממשו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נאג</w:t>
      </w:r>
      <w:r>
        <w:rPr>
          <w:rtl w:val="true"/>
        </w:rPr>
        <w:t xml:space="preserve">'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נאג</w:t>
      </w:r>
      <w:r>
        <w:rPr>
          <w:rtl w:val="true"/>
        </w:rPr>
        <w:t xml:space="preserve">'.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הרכוש</w:t>
      </w:r>
      <w:r>
        <w:rPr>
          <w:rtl w:val="true"/>
        </w:rPr>
        <w:t xml:space="preserve">).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וסאהר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>, "</w:t>
      </w:r>
      <w:r>
        <w:rPr>
          <w:rtl w:val="true"/>
        </w:rPr>
        <w:t>יהרגו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וסאהר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להדביקו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 xml:space="preserve">".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tl w:val="true"/>
        </w:rPr>
        <w:t xml:space="preserve">, </w:t>
      </w:r>
      <w:r>
        <w:rPr>
          <w:rtl w:val="true"/>
        </w:rPr>
        <w:t>חלקוהו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29/11/04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6425/04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לוטפי</w:t>
      </w:r>
      <w:r>
        <w:rPr>
          <w:rtl w:val="true"/>
        </w:rPr>
        <w:t xml:space="preserve">) </w:t>
      </w:r>
      <w:r>
        <w:rPr>
          <w:rtl w:val="true"/>
        </w:rPr>
        <w:t>בדליית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כרמל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06:30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באצטדיון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4/12/2004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29/5/2006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דלים</w:t>
      </w:r>
      <w:r>
        <w:rPr>
          <w:rtl w:val="true"/>
        </w:rPr>
        <w:t xml:space="preserve">. </w:t>
      </w:r>
      <w:r>
        <w:rPr>
          <w:rtl w:val="true"/>
        </w:rPr>
        <w:t>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סאהר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לסאהר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כשמאסר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1174/00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סאהר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.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משוקללת</w:t>
      </w:r>
      <w:r>
        <w:rPr>
          <w:rtl w:val="true"/>
        </w:rPr>
        <w:t xml:space="preserve">" 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שקלול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והאינדיבידואלי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421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435-434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שבאיזון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להגישו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1208/06</w:t>
        </w:r>
      </w:hyperlink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Style w:val="default"/>
          <w:sz w:val="24"/>
          <w:sz w:val="24"/>
          <w:rtl w:val="true"/>
        </w:rPr>
        <w:t>מי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שנידון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למאסר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ולפני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שנשא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כל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ענשו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חזר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ונידון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למאסר</w:t>
      </w:r>
      <w:r>
        <w:rPr>
          <w:rStyle w:val="default"/>
          <w:sz w:val="24"/>
          <w:rtl w:val="true"/>
        </w:rPr>
        <w:t xml:space="preserve">, </w:t>
      </w:r>
      <w:r>
        <w:rPr>
          <w:rStyle w:val="default"/>
          <w:sz w:val="24"/>
          <w:sz w:val="24"/>
          <w:rtl w:val="true"/>
        </w:rPr>
        <w:t>ובית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המשפט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שדן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אותו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באחרונה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לא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הורה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שישא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את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ענשי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המאסר</w:t>
      </w:r>
      <w:r>
        <w:rPr>
          <w:rStyle w:val="default"/>
          <w:sz w:val="24"/>
          <w:rtl w:val="true"/>
        </w:rPr>
        <w:t xml:space="preserve">, </w:t>
      </w:r>
      <w:r>
        <w:rPr>
          <w:rStyle w:val="default"/>
          <w:sz w:val="24"/>
          <w:sz w:val="24"/>
          <w:rtl w:val="true"/>
        </w:rPr>
        <w:t>כולם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מקצתם</w:t>
      </w:r>
      <w:r>
        <w:rPr>
          <w:rStyle w:val="default"/>
          <w:sz w:val="24"/>
          <w:rtl w:val="true"/>
        </w:rPr>
        <w:t xml:space="preserve">, </w:t>
      </w:r>
      <w:r>
        <w:rPr>
          <w:rStyle w:val="default"/>
          <w:sz w:val="24"/>
          <w:sz w:val="24"/>
          <w:rtl w:val="true"/>
        </w:rPr>
        <w:t>בזה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אחר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זה</w:t>
      </w:r>
      <w:r>
        <w:rPr>
          <w:rStyle w:val="default"/>
          <w:sz w:val="24"/>
          <w:rtl w:val="true"/>
        </w:rPr>
        <w:t xml:space="preserve">, </w:t>
      </w:r>
      <w:r>
        <w:rPr>
          <w:rStyle w:val="default"/>
          <w:sz w:val="24"/>
          <w:sz w:val="24"/>
          <w:rtl w:val="true"/>
        </w:rPr>
        <w:t>לא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ישא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אלא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עונש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אחד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והוא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התקופה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הארוכה</w:t>
      </w:r>
      <w:r>
        <w:rPr>
          <w:rStyle w:val="default"/>
          <w:rFonts w:cs="Times New Roman"/>
          <w:sz w:val="24"/>
          <w:sz w:val="24"/>
          <w:rtl w:val="true"/>
        </w:rPr>
        <w:t xml:space="preserve"> </w:t>
      </w:r>
      <w:r>
        <w:rPr>
          <w:rStyle w:val="default"/>
          <w:sz w:val="24"/>
          <w:sz w:val="24"/>
          <w:rtl w:val="true"/>
        </w:rPr>
        <w:t>ביותר</w:t>
      </w:r>
      <w:r>
        <w:rPr>
          <w:rStyle w:val="default"/>
          <w:sz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1899/04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איתי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ליבוביץ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934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941-942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670/80</w:t>
        </w:r>
      </w:hyperlink>
      <w:r>
        <w:rPr>
          <w:rtl w:val="true"/>
        </w:rPr>
        <w:t xml:space="preserve"> </w:t>
      </w:r>
      <w:r>
        <w:rPr>
          <w:rtl w:val="true"/>
        </w:rPr>
        <w:t>אבוחצירא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9</w:t>
      </w:r>
      <w:r>
        <w:rPr>
          <w:rtl w:val="true"/>
        </w:rPr>
        <w:t xml:space="preserve">],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695</w:t>
      </w:r>
      <w:r>
        <w:rPr>
          <w:rtl w:val="true"/>
        </w:rPr>
        <w:t xml:space="preserve">).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האנושי</w:t>
      </w:r>
      <w:r>
        <w:rPr>
          <w:rtl w:val="true"/>
        </w:rPr>
        <w:t>-</w:t>
      </w:r>
      <w:r>
        <w:rPr>
          <w:rtl w:val="true"/>
        </w:rPr>
        <w:t>ההומני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</w:t>
      </w:r>
      <w:r>
        <w:rPr>
          <w:rtl w:val="true"/>
        </w:rPr>
        <w:t xml:space="preserve">.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בברוטליות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15/12/2006</w:t>
      </w:r>
      <w:r>
        <w:rPr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בהנהלת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אמינוף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54678313-1170/04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).  </w:t>
      </w:r>
    </w:p>
    <w:tbl>
      <w:tblPr>
        <w:tblW w:w="3251" w:type="dxa"/>
        <w:jc w:val="start"/>
        <w:tblInd w:w="527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1"/>
      </w:tblGrid>
      <w:tr>
        <w:trPr/>
        <w:tc>
          <w:tcPr>
            <w:tcW w:w="32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rFonts w:ascii="Guttman Yad-Brush" w:hAnsi="Guttman Yad-Brush" w:cs="Guttman Yad-Brush"/>
          <w:sz w:val="14"/>
          <w:szCs w:val="16"/>
        </w:rPr>
      </w:pPr>
      <w:r>
        <w:rPr>
          <w:rFonts w:cs="Guttman Yad-Brush" w:ascii="Guttman Yad-Brush" w:hAnsi="Guttman Yad-Brush"/>
          <w:sz w:val="14"/>
          <w:szCs w:val="16"/>
          <w:rtl w:val="true"/>
        </w:rPr>
      </w:r>
    </w:p>
    <w:p>
      <w:pPr>
        <w:pStyle w:val="Normal"/>
        <w:ind w:end="0"/>
        <w:jc w:val="both"/>
        <w:rPr>
          <w:rFonts w:ascii="Guttman Yad-Brush" w:hAnsi="Guttman Yad-Brush" w:cs="Guttman Yad-Brush"/>
          <w:sz w:val="14"/>
          <w:szCs w:val="16"/>
        </w:rPr>
      </w:pPr>
      <w:r>
        <w:rPr>
          <w:rFonts w:cs="Guttman Yad-Brush" w:ascii="Guttman Yad-Brush" w:hAnsi="Guttman Yad-Brush"/>
          <w:sz w:val="14"/>
          <w:szCs w:val="16"/>
          <w:rtl w:val="true"/>
        </w:rPr>
      </w:r>
    </w:p>
    <w:p>
      <w:pPr>
        <w:pStyle w:val="Normal"/>
        <w:ind w:end="0"/>
        <w:jc w:val="both"/>
        <w:rPr>
          <w:rFonts w:ascii="Guttman Yad-Brush" w:hAnsi="Guttman Yad-Brush" w:cs="Guttman Yad-Brush"/>
          <w:sz w:val="14"/>
          <w:szCs w:val="16"/>
        </w:rPr>
      </w:pPr>
      <w:r>
        <w:rPr>
          <w:rFonts w:cs="Guttman Yad-Brush" w:ascii="Guttman Yad-Brush" w:hAnsi="Guttman Yad-Brush"/>
          <w:sz w:val="14"/>
          <w:szCs w:val="16"/>
          <w:rtl w:val="true"/>
        </w:rPr>
      </w:r>
    </w:p>
    <w:p>
      <w:pPr>
        <w:pStyle w:val="Normal"/>
        <w:ind w:end="0"/>
        <w:jc w:val="start"/>
        <w:rPr>
          <w:rFonts w:ascii="Guttman Yad-Brush" w:hAnsi="Guttman Yad-Brush" w:cs="Guttman Yad-Brush"/>
          <w:color w:val="000000"/>
          <w:sz w:val="14"/>
          <w:szCs w:val="16"/>
        </w:rPr>
      </w:pPr>
      <w:r>
        <w:rPr>
          <w:rFonts w:ascii="Guttman Yad-Brush" w:hAnsi="Guttman Yad-Brush" w:cs="Guttman Yad-Brush"/>
          <w:sz w:val="14"/>
          <w:sz w:val="14"/>
          <w:szCs w:val="16"/>
          <w:rtl w:val="true"/>
        </w:rPr>
        <w:t>ח</w:t>
      </w:r>
      <w:r>
        <w:rPr>
          <w:rFonts w:cs="Guttman Yad-Brush" w:ascii="Guttman Yad-Brush" w:hAnsi="Guttman Yad-Brush"/>
          <w:sz w:val="14"/>
          <w:szCs w:val="16"/>
          <w:rtl w:val="true"/>
        </w:rPr>
        <w:t>.</w:t>
      </w:r>
      <w:r>
        <w:rPr>
          <w:rFonts w:ascii="Guttman Yad-Brush" w:hAnsi="Guttman Yad-Brush" w:cs="Guttman Yad-Brush"/>
          <w:sz w:val="14"/>
          <w:sz w:val="14"/>
          <w:szCs w:val="16"/>
          <w:rtl w:val="true"/>
        </w:rPr>
        <w:t>ד</w:t>
      </w:r>
      <w:r>
        <w:rPr>
          <w:rFonts w:cs="Guttman Yad-Brush" w:ascii="Guttman Yad-Brush" w:hAnsi="Guttman Yad-Brush"/>
          <w:sz w:val="14"/>
          <w:szCs w:val="16"/>
          <w:rtl w:val="true"/>
        </w:rPr>
        <w:t xml:space="preserve">. </w:t>
      </w:r>
      <w:r>
        <w:rPr>
          <w:rFonts w:cs="Guttman Yad-Brush" w:ascii="Guttman Yad-Brush" w:hAnsi="Guttman Yad-Brush"/>
          <w:sz w:val="14"/>
          <w:szCs w:val="16"/>
        </w:rPr>
        <w:t>001170/04</w:t>
      </w:r>
      <w:r>
        <w:rPr>
          <w:rFonts w:ascii="Guttman Yad-Brush" w:hAnsi="Guttman Yad-Brush" w:cs="Guttman Yad-Brush"/>
          <w:sz w:val="14"/>
          <w:sz w:val="14"/>
          <w:szCs w:val="16"/>
          <w:rtl w:val="true"/>
        </w:rPr>
        <w:t xml:space="preserve">פ  </w:t>
      </w:r>
      <w:r>
        <w:rPr>
          <w:rFonts w:cs="Guttman Yad-Brush" w:ascii="Guttman Yad-Brush" w:hAnsi="Guttman Yad-Brush"/>
          <w:sz w:val="14"/>
          <w:szCs w:val="16"/>
        </w:rPr>
        <w:t>054</w:t>
      </w:r>
      <w:r>
        <w:rPr>
          <w:rFonts w:cs="Guttman Yad-Brush" w:ascii="Guttman Yad-Brush" w:hAnsi="Guttman Yad-Brush"/>
          <w:sz w:val="14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Guttman Yad-Brush" w:hAnsi="Guttman Yad-Brush" w:cs="Guttman Yad-Brush"/>
          <w:color w:val="000000"/>
          <w:sz w:val="14"/>
          <w:szCs w:val="16"/>
        </w:rPr>
      </w:pPr>
      <w:r>
        <w:rPr>
          <w:rFonts w:ascii="Guttman Yad-Brush" w:hAnsi="Guttman Yad-Brush" w:cs="Guttman Yad-Brush"/>
          <w:color w:val="000000"/>
          <w:sz w:val="14"/>
          <w:sz w:val="14"/>
          <w:szCs w:val="16"/>
          <w:rtl w:val="true"/>
        </w:rPr>
        <w:t>נוסח מסמך זה כפוף לשינויי ניסוח 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Guttman Yad-Brush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/Users/liorb/Downloads/study2025-p2/m04001170-459.doc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1170/04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באהאאלדין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באהא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תאופיק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360"/>
      <w:ind w:hanging="0" w:start="0" w:end="0"/>
      <w:jc w:val="both"/>
      <w:outlineLvl w:val="8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360"/>
      <w:ind w:hanging="0" w:start="26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b" TargetMode="External"/><Relationship Id="rId4" Type="http://schemas.openxmlformats.org/officeDocument/2006/relationships/hyperlink" Target="http://www.nevo.co.il/law/70301/242" TargetMode="External"/><Relationship Id="rId5" Type="http://schemas.openxmlformats.org/officeDocument/2006/relationships/hyperlink" Target="http://www.nevo.co.il/law/70301/287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4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87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14714" TargetMode="External"/><Relationship Id="rId14" Type="http://schemas.openxmlformats.org/officeDocument/2006/relationships/hyperlink" Target="http://www.nevo.co.il/case/486182" TargetMode="External"/><Relationship Id="rId15" Type="http://schemas.openxmlformats.org/officeDocument/2006/relationships/hyperlink" Target="http://www.nevo.co.il/law/70301/45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799039" TargetMode="External"/><Relationship Id="rId18" Type="http://schemas.openxmlformats.org/officeDocument/2006/relationships/hyperlink" Target="http://www.nevo.co.il/case/17929919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2016-11-23T14:38:00Z</dcterms:created>
  <dc:creator> </dc:creator>
  <dc:description/>
  <cp:keywords/>
  <dc:language>en-IL</dc:language>
  <cp:lastModifiedBy>yafit</cp:lastModifiedBy>
  <cp:lastPrinted>2006-10-24T01:59:00Z</cp:lastPrinted>
  <dcterms:modified xsi:type="dcterms:W3CDTF">2016-11-23T14:38:00Z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באהאאלדין (באהא) בן תאופיק עבדאלג'ואד;עאמר בן מוטלק ג'אזי</vt:lpwstr>
  </property>
  <property fmtid="{D5CDD505-2E9C-101B-9397-08002B2CF9AE}" pid="4" name="CASESLISTTMP1">
    <vt:lpwstr>17914714;486182;5799039;17929919</vt:lpwstr>
  </property>
  <property fmtid="{D5CDD505-2E9C-101B-9397-08002B2CF9AE}" pid="5" name="CITY">
    <vt:lpwstr>נצ'</vt:lpwstr>
  </property>
  <property fmtid="{D5CDD505-2E9C-101B-9397-08002B2CF9AE}" pid="6" name="DATE">
    <vt:lpwstr>20061115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אהרן אמינוף</vt:lpwstr>
  </property>
  <property fmtid="{D5CDD505-2E9C-101B-9397-08002B2CF9AE}" pid="10" name="LAWLISTTMP1">
    <vt:lpwstr>70301/402.b;242;287;045.b</vt:lpwstr>
  </property>
  <property fmtid="{D5CDD505-2E9C-101B-9397-08002B2CF9AE}" pid="11" name="LAWYER">
    <vt:lpwstr>אור לרנר;ערפאת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1170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