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36"/>
                <w:szCs w:val="36"/>
              </w:rPr>
            </w:pPr>
            <w:r>
              <w:rPr>
                <w:b/>
                <w:bCs/>
                <w:spacing w:val="110"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Cs w:val="22"/>
                <w:u w:val="none"/>
              </w:rPr>
            </w:pPr>
            <w:r>
              <w:rPr>
                <w:szCs w:val="22"/>
                <w:u w:val="none"/>
                <w:rtl w:val="true"/>
              </w:rPr>
              <w:t>בבית</w:t>
            </w:r>
            <w:r>
              <w:rPr>
                <w:rFonts w:cs="Times New Roman"/>
                <w:szCs w:val="22"/>
                <w:u w:val="none"/>
                <w:rtl w:val="true"/>
              </w:rPr>
              <w:t xml:space="preserve"> </w:t>
            </w:r>
            <w:r>
              <w:rPr>
                <w:szCs w:val="22"/>
                <w:u w:val="none"/>
                <w:rtl w:val="true"/>
              </w:rPr>
              <w:t>המשפט</w:t>
            </w:r>
            <w:r>
              <w:rPr>
                <w:rFonts w:cs="Times New Roman"/>
                <w:szCs w:val="22"/>
                <w:u w:val="none"/>
                <w:rtl w:val="true"/>
              </w:rPr>
              <w:t xml:space="preserve"> </w:t>
            </w:r>
            <w:r>
              <w:rPr>
                <w:szCs w:val="22"/>
                <w:u w:val="none"/>
                <w:rtl w:val="true"/>
              </w:rPr>
              <w:t>המחוזי</w:t>
            </w:r>
            <w:r>
              <w:rPr>
                <w:rFonts w:cs="Times New Roman"/>
                <w:szCs w:val="22"/>
                <w:u w:val="none"/>
                <w:rtl w:val="true"/>
              </w:rPr>
              <w:t xml:space="preserve"> </w:t>
            </w:r>
            <w:r>
              <w:rPr>
                <w:szCs w:val="22"/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פלילי</w:t>
            </w:r>
            <w:r>
              <w:rPr>
                <w:b/>
                <w:bCs/>
                <w:sz w:val="28"/>
                <w:szCs w:val="22"/>
                <w:rtl w:val="true"/>
              </w:rPr>
              <w:t xml:space="preserve">:  </w:t>
            </w:r>
            <w:r>
              <w:rPr>
                <w:b/>
                <w:bCs/>
                <w:sz w:val="28"/>
                <w:szCs w:val="22"/>
              </w:rPr>
              <w:t>001176/05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128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בפני</w:t>
            </w:r>
            <w:r>
              <w:rPr>
                <w:b/>
                <w:bCs/>
                <w:sz w:val="28"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כב</w:t>
            </w:r>
            <w:r>
              <w:rPr>
                <w:b/>
                <w:bCs/>
                <w:sz w:val="28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rFonts w:cs="Times New Roman"/>
                <w:b/>
                <w:bCs/>
                <w:sz w:val="28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2"/>
                <w:rtl w:val="true"/>
              </w:rPr>
              <w:t>תאריך</w:t>
            </w:r>
            <w:r>
              <w:rPr>
                <w:b/>
                <w:bCs/>
                <w:sz w:val="28"/>
                <w:szCs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12/07/2006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auto" w:line="36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א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ש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Heading1"/>
              <w:ind w:end="0"/>
              <w:jc w:val="center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טלאל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ענאד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פאהום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auto" w:line="36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א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ש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bookmarkStart w:id="3" w:name="FirstLawyer"/>
            <w:bookmarkEnd w:id="3"/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שחם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ידי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עוה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מרוז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center"/>
        <w:rPr/>
      </w:pPr>
      <w:bookmarkStart w:id="4" w:name="סוג_מסמך"/>
      <w:bookmarkEnd w:id="4"/>
      <w:r>
        <w:rPr>
          <w:highlight w:val="yellow"/>
          <w:u w:val="none"/>
          <w:rtl w:val="true"/>
        </w:rPr>
        <w:t>ג</w:t>
      </w:r>
      <w:r>
        <w:rPr>
          <w:rFonts w:cs="Times New Roman"/>
          <w:highlight w:val="yellow"/>
          <w:u w:val="none"/>
          <w:rtl w:val="true"/>
        </w:rPr>
        <w:t xml:space="preserve"> </w:t>
      </w:r>
      <w:r>
        <w:rPr>
          <w:highlight w:val="yellow"/>
          <w:u w:val="none"/>
          <w:rtl w:val="true"/>
        </w:rPr>
        <w:t>ז</w:t>
      </w:r>
      <w:r>
        <w:rPr>
          <w:rFonts w:cs="Times New Roman"/>
          <w:highlight w:val="yellow"/>
          <w:u w:val="none"/>
          <w:rtl w:val="true"/>
        </w:rPr>
        <w:t xml:space="preserve"> </w:t>
      </w:r>
      <w:r>
        <w:rPr>
          <w:highlight w:val="yellow"/>
          <w:u w:val="none"/>
          <w:rtl w:val="true"/>
        </w:rPr>
        <w:t>ר</w:t>
      </w:r>
      <w:r>
        <w:rPr>
          <w:rFonts w:cs="Times New Roman"/>
          <w:highlight w:val="yellow"/>
          <w:u w:val="none"/>
          <w:rtl w:val="true"/>
        </w:rPr>
        <w:t xml:space="preserve">  </w:t>
      </w:r>
      <w:r>
        <w:rPr>
          <w:highlight w:val="yellow"/>
          <w:u w:val="none"/>
          <w:rtl w:val="true"/>
        </w:rPr>
        <w:t xml:space="preserve">- </w:t>
      </w:r>
      <w:r>
        <w:rPr>
          <w:highlight w:val="yellow"/>
          <w:u w:val="none"/>
          <w:rtl w:val="true"/>
        </w:rPr>
        <w:t>ד</w:t>
      </w:r>
      <w:r>
        <w:rPr>
          <w:rFonts w:cs="Times New Roman"/>
          <w:highlight w:val="yellow"/>
          <w:u w:val="none"/>
          <w:rtl w:val="true"/>
        </w:rPr>
        <w:t xml:space="preserve"> </w:t>
      </w:r>
      <w:r>
        <w:rPr>
          <w:highlight w:val="yellow"/>
          <w:u w:val="none"/>
          <w:rtl w:val="true"/>
        </w:rPr>
        <w:t>י</w:t>
      </w:r>
      <w:r>
        <w:rPr>
          <w:rFonts w:cs="Times New Roman"/>
          <w:highlight w:val="yellow"/>
          <w:u w:val="none"/>
          <w:rtl w:val="true"/>
        </w:rPr>
        <w:t xml:space="preserve"> </w:t>
      </w:r>
      <w:r>
        <w:rPr>
          <w:highlight w:val="yellow"/>
          <w:u w:val="none"/>
          <w:rtl w:val="true"/>
        </w:rPr>
        <w:t>ן</w:t>
      </w:r>
      <w:r>
        <w:rPr>
          <w:rFonts w:cs="Times New Roman"/>
          <w:u w:val="none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פאהום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>
          <w:sz w:val="22"/>
        </w:rPr>
      </w:pPr>
      <w:r>
        <w:rPr>
          <w:b/>
          <w:bCs/>
          <w:sz w:val="22"/>
          <w:rtl w:val="true"/>
        </w:rPr>
        <w:t>(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480"/>
        <w:ind w:hanging="720" w:start="72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ascii="FrankRuehl" w:hAnsi="FrankRuehl" w:cs="FrankRuehl"/>
          <w:sz w:val="24"/>
        </w:rPr>
      </w:pPr>
      <w:r>
        <w:rPr>
          <w:b/>
          <w:b/>
          <w:bCs/>
          <w:sz w:val="22"/>
          <w:sz w:val="22"/>
          <w:rtl w:val="true"/>
        </w:rPr>
        <w:t>א</w:t>
      </w:r>
    </w:p>
    <w:p>
      <w:pPr>
        <w:pStyle w:val="Normal"/>
        <w:spacing w:lineRule="auto" w:line="480"/>
        <w:ind w:hanging="720" w:start="720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ascii="FrankRuehl" w:hAnsi="FrankRuehl" w:cs="FrankRuehl"/>
          <w:sz w:val="24"/>
        </w:rPr>
      </w:pPr>
      <w:r>
        <w:rPr>
          <w:b/>
          <w:bCs/>
          <w:sz w:val="22"/>
          <w:rtl w:val="true"/>
        </w:rPr>
        <w:t>)</w:t>
      </w:r>
      <w:r>
        <w:rPr>
          <w:rFonts w:cs="FrankRuehl" w:ascii="FrankRuehl" w:hAnsi="FrankRuehl"/>
          <w:sz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sz w:val="22"/>
          <w:rtl w:val="true"/>
        </w:rPr>
        <w:tab/>
      </w:r>
      <w:bookmarkStart w:id="8" w:name="ABSTRACT_START"/>
      <w:bookmarkEnd w:id="8"/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</w:t>
      </w:r>
      <w:bookmarkStart w:id="9" w:name="ABSTRACT_END"/>
      <w:bookmarkEnd w:id="9"/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").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23/12/05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</w:rPr>
        <w:t>24/12/05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יקובס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שבנצרת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מורדכי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מורדי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כזמר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בראונינג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כהגדרתו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">
        <w:r>
          <w:rPr>
            <w:rStyle w:val="Hyperlink"/>
            <w:sz w:val="22"/>
            <w:sz w:val="22"/>
            <w:rtl w:val="true"/>
          </w:rPr>
          <w:t>בסעיף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ג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והמחסנית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שנבדק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המבחן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13/4/06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שהתנהלה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27-32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מובטל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הכנסה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וילדיו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ואוהבת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הסוציואקונומי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שרת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מזדמנות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נסגרה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המרה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זירז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והתחברותו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בשטח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הבעיתיים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הצהרותיו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בעזרה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לבעייתיות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הצהרות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בהעלאת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7/6/06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לאישפוזית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ונכונות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הצהרותיו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נמוכה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טיעוני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ומעידים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למועדון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להחרפה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המתרחשת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ולשלוח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נכללו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לגרסת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מטעמו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לכן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מינמלי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מוחזק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המוחשית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סומך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1332/04</w:t>
        </w:r>
      </w:hyperlink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פרמטרים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הותקף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במדרג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באלכוהול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במילואים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נעליים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ערבי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מתחמק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הפנימיות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לפסיכיאטר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ולהפסיק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שליחתו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>. [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2335/06</w:t>
        </w:r>
      </w:hyperlink>
      <w:r>
        <w:rPr>
          <w:sz w:val="22"/>
          <w:rtl w:val="true"/>
        </w:rPr>
        <w:t xml:space="preserve">)].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האינדיוידיאלית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במקומותינו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תגרה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10/2002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בשכרות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16/3/06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מסקירה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הסתבכויותיו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נובעות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לאלכוהול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בילדותו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התנכלותו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ולהסתובב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לפרנסתו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מסודר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לשכנע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מאלכוהול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מקסימלית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ומפריעים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ופורע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מפריע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הנובעות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להשתקם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והמוחשית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נושא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תישלל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במחוזותינו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למועדון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כוונותיו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ככוונות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תמימות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בלוויתו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מתפתחים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הפריע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במועדון</w:t>
      </w:r>
      <w:r>
        <w:rPr>
          <w:sz w:val="22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6112/04</w:t>
        </w:r>
      </w:hyperlink>
      <w:r>
        <w:rPr>
          <w:sz w:val="22"/>
          <w:rtl w:val="true"/>
        </w:rPr>
        <w:t xml:space="preserve">, </w:t>
      </w:r>
      <w:r>
        <w:rPr>
          <w:sz w:val="22"/>
        </w:rPr>
        <w:t>6115/04</w:t>
      </w:r>
      <w:r>
        <w:rPr>
          <w:sz w:val="22"/>
          <w:rtl w:val="true"/>
        </w:rPr>
        <w:t xml:space="preserve">, </w:t>
      </w:r>
      <w:r>
        <w:rPr>
          <w:sz w:val="22"/>
        </w:rPr>
        <w:t>8040/04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עובדיה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2005</w:t>
      </w:r>
      <w:r>
        <w:rPr>
          <w:sz w:val="22"/>
          <w:rtl w:val="true"/>
        </w:rPr>
        <w:t xml:space="preserve"> 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813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לוי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480"/>
        <w:ind w:start="144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נראה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בטענתה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כוחה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המלומדת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המשיבה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פילובסקי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להסתיים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הקורבן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שנמנעה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עומדת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עינינו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בעיקר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העובדה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הנוספת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הנוכחי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חריגה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בחיינו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בכלל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ובמקומות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הבילוי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בפרט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ומכאן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המערערים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דגש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הרתעת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הרבים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למרבה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הדאבה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האלימות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מתבשרים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חדשות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לבקרים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הפכה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למגפה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ורבים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ליישב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סכסוכים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תוצאתה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שילמו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בעיקר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צעירים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בחייהם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ובעקבות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נחתו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אסונות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משפחות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המתקשות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להתמודד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האובדן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והשכול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להדביר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תופעה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נדרשים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בראש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ובראשונה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אמצעים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חינוכיים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תפקיד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מכשיר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למטרות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והרתעה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ולעתים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העוצמה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ייחסכו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תימנע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פגיעה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באחרים</w:t>
      </w:r>
      <w:r>
        <w:rPr>
          <w:b/>
          <w:bCs/>
          <w:sz w:val="22"/>
          <w:rtl w:val="true"/>
        </w:rPr>
        <w:t>."</w:t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3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5753/04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רייכמן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1/2005</w:t>
      </w:r>
      <w:r>
        <w:rPr>
          <w:sz w:val="22"/>
          <w:rtl w:val="true"/>
        </w:rPr>
        <w:t xml:space="preserve">, </w:t>
      </w:r>
      <w:r>
        <w:rPr>
          <w:sz w:val="22"/>
        </w:rPr>
        <w:t>1223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למועדון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לחיקוי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ערבי</w:t>
      </w:r>
      <w:r>
        <w:rPr>
          <w:sz w:val="22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שדחף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שולים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ט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מאלכוהול</w:t>
      </w:r>
      <w:r>
        <w:rPr>
          <w:sz w:val="22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עיינתי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בבקשתו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והמבוססת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2335/06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תגובת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נתתי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להעדיף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להתחיל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והאמיתי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לשלטונות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בפוטנציה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הטרגדיות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להעדיף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sz w:val="22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24/12/05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25/1/06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  <w:tab/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80"/>
        </w:rPr>
      </w:pPr>
      <w:r>
        <w:rPr>
          <w:b/>
          <w:bCs/>
          <w:color w:val="000080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מוניץ נחמה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647" w:type="dxa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3"/>
              <w:spacing w:lineRule="auto" w:line="36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א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ש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Heading1"/>
              <w:ind w:end="0"/>
              <w:jc w:val="center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טלאל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ענאד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פאהום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3"/>
              <w:spacing w:lineRule="auto" w:line="36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א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ש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8562" w:type="dxa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שחם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ידי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עוה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מרוז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end="0"/>
        <w:jc w:val="center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פ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ק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ל</w:t>
      </w:r>
    </w:p>
    <w:p>
      <w:pPr>
        <w:pStyle w:val="1"/>
        <w:ind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tl w:val="true"/>
        </w:rPr>
        <w:t xml:space="preserve">, </w:t>
      </w:r>
      <w:r>
        <w:rPr>
          <w:rtl w:val="true"/>
        </w:rPr>
        <w:t>לפגישות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</w:r>
      <w:bookmarkStart w:id="10" w:name="Decision1"/>
      <w:bookmarkStart w:id="11" w:name="Decision1"/>
      <w:bookmarkEnd w:id="11"/>
    </w:p>
    <w:p>
      <w:pPr>
        <w:pStyle w:val="Heading1"/>
        <w:ind w:end="0"/>
        <w:jc w:val="center"/>
        <w:rPr/>
      </w:pPr>
      <w:r>
        <w:rPr>
          <w:rtl w:val="true"/>
        </w:rPr>
      </w:r>
    </w:p>
    <w:p>
      <w:pPr>
        <w:pStyle w:val="Style10"/>
        <w:spacing w:lineRule="auto" w:line="360"/>
        <w:ind w:end="0"/>
        <w:jc w:val="center"/>
        <w:rPr>
          <w:b/>
          <w:sz w:val="28"/>
          <w:szCs w:val="28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sz w:val="28"/>
          <w:sz w:val="28"/>
          <w:szCs w:val="28"/>
          <w:u w:val="single"/>
          <w:rtl w:val="true"/>
        </w:rPr>
        <w:t>ה</w:t>
      </w:r>
      <w:r>
        <w:rPr>
          <w:rFonts w:cs="Times New Roman"/>
          <w:b/>
          <w:b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sz w:val="28"/>
          <w:sz w:val="28"/>
          <w:szCs w:val="28"/>
          <w:u w:val="single"/>
          <w:rtl w:val="true"/>
        </w:rPr>
        <w:t>ח</w:t>
      </w:r>
      <w:r>
        <w:rPr>
          <w:rFonts w:cs="Times New Roman"/>
          <w:b/>
          <w:b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sz w:val="28"/>
          <w:sz w:val="28"/>
          <w:szCs w:val="28"/>
          <w:u w:val="single"/>
          <w:rtl w:val="true"/>
        </w:rPr>
        <w:t>ל</w:t>
      </w:r>
      <w:r>
        <w:rPr>
          <w:rFonts w:cs="Times New Roman"/>
          <w:b/>
          <w:b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sz w:val="28"/>
          <w:sz w:val="28"/>
          <w:szCs w:val="28"/>
          <w:u w:val="single"/>
          <w:rtl w:val="true"/>
        </w:rPr>
        <w:t>ט</w:t>
      </w:r>
      <w:r>
        <w:rPr>
          <w:rFonts w:cs="Times New Roman"/>
          <w:b/>
          <w:b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sz w:val="28"/>
          <w:sz w:val="28"/>
          <w:szCs w:val="28"/>
          <w:u w:val="single"/>
          <w:rtl w:val="true"/>
        </w:rPr>
        <w:t>ה</w:t>
      </w:r>
    </w:p>
    <w:p>
      <w:pPr>
        <w:pStyle w:val="Style10"/>
        <w:spacing w:lineRule="auto" w:line="360"/>
        <w:ind w:end="0"/>
        <w:jc w:val="both"/>
        <w:rPr>
          <w:b/>
          <w:bCs w:val="false"/>
          <w:sz w:val="24"/>
          <w:szCs w:val="28"/>
          <w:u w:val="single"/>
        </w:rPr>
      </w:pPr>
      <w:r>
        <w:rPr>
          <w:b/>
          <w:bCs w:val="false"/>
          <w:sz w:val="24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sz w:val="24"/>
          <w:rtl w:val="true"/>
        </w:rPr>
        <w:t>הואיל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והנאשם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ביקש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להשתתף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בהליך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גמילה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בטרם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גזר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הדין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דבר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שנדחה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ידי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ויש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בכוונתו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להגיש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ערעור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לבית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המשפט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העליון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הרי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לא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יינתן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עיכוב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הביצוע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עשוי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הדבר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לסכן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הערעור</w:t>
      </w:r>
      <w:r>
        <w:rPr>
          <w:bCs w:val="false"/>
          <w:sz w:val="24"/>
          <w:rtl w:val="true"/>
        </w:rPr>
        <w:t xml:space="preserve">. </w:t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rtl w:val="true"/>
        </w:rPr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sz w:val="24"/>
          <w:rtl w:val="true"/>
        </w:rPr>
        <w:t>מטעם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זה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בלבד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אני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סבורה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שיש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מקום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להעתר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לבקשה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לעיכוב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ביצוע</w:t>
      </w:r>
      <w:r>
        <w:rPr>
          <w:bCs w:val="false"/>
          <w:sz w:val="24"/>
          <w:rtl w:val="true"/>
        </w:rPr>
        <w:t xml:space="preserve">. </w:t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rtl w:val="true"/>
        </w:rPr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sz w:val="24"/>
          <w:rtl w:val="true"/>
        </w:rPr>
        <w:t>יחד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זאת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ולאור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העובדה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שכיום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לאחר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שהנאשם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יודע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כי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נגזר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עליו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עונש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מאסר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ארוך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הרי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ששומה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עלי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להתנות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עיכוב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הביצוע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בהפקדה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כספית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משמעותית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כדי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להבטיח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ריצוי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המאסר</w:t>
      </w:r>
      <w:r>
        <w:rPr>
          <w:bCs w:val="false"/>
          <w:sz w:val="24"/>
          <w:rtl w:val="true"/>
        </w:rPr>
        <w:t xml:space="preserve">. </w:t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rtl w:val="true"/>
        </w:rPr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sz w:val="24"/>
          <w:rtl w:val="true"/>
        </w:rPr>
        <w:t>לפיכך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אני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מורה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כי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אם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יופקד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סך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</w:rPr>
        <w:t>25,000</w:t>
      </w:r>
      <w:r>
        <w:rPr>
          <w:bCs w:val="false"/>
          <w:sz w:val="24"/>
          <w:rtl w:val="true"/>
        </w:rPr>
        <w:t xml:space="preserve"> </w:t>
      </w:r>
      <w:r>
        <w:rPr>
          <w:rFonts w:eastAsia="David" w:ascii="David" w:hAnsi="David"/>
          <w:bCs w:val="false"/>
          <w:sz w:val="24"/>
          <w:rtl w:val="true"/>
        </w:rPr>
        <w:t>₪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יעוכב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ביצוע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גזר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הדין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למשך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</w:rPr>
        <w:t>45</w:t>
      </w:r>
      <w:r>
        <w:rPr>
          <w:bCs w:val="false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יום</w:t>
      </w:r>
      <w:r>
        <w:rPr>
          <w:bCs w:val="false"/>
          <w:sz w:val="24"/>
          <w:rtl w:val="true"/>
        </w:rPr>
        <w:t xml:space="preserve">. </w:t>
      </w:r>
    </w:p>
    <w:p>
      <w:pPr>
        <w:pStyle w:val="Style10"/>
        <w:spacing w:lineRule="auto" w:line="360"/>
        <w:ind w:end="0"/>
        <w:jc w:val="both"/>
        <w:rPr>
          <w:bCs w:val="false"/>
          <w:color w:val="FFFFFF"/>
          <w:sz w:val="2"/>
          <w:szCs w:val="2"/>
        </w:rPr>
      </w:pPr>
      <w:r>
        <w:rPr>
          <w:bCs w:val="false"/>
          <w:color w:val="FFFFFF"/>
          <w:sz w:val="2"/>
          <w:szCs w:val="2"/>
          <w:rtl w:val="true"/>
        </w:rPr>
      </w:r>
    </w:p>
    <w:p>
      <w:pPr>
        <w:pStyle w:val="Style10"/>
        <w:spacing w:lineRule="auto" w:line="360"/>
        <w:ind w:end="0"/>
        <w:jc w:val="both"/>
        <w:rPr>
          <w:bCs w:val="false"/>
          <w:color w:val="FFFFFF"/>
          <w:sz w:val="2"/>
          <w:szCs w:val="2"/>
        </w:rPr>
      </w:pPr>
      <w:r>
        <w:rPr>
          <w:bCs w:val="false"/>
          <w:color w:val="FFFFFF"/>
          <w:sz w:val="2"/>
          <w:szCs w:val="2"/>
        </w:rPr>
        <w:t>5129371</w:t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color w:val="FFFFFF"/>
          <w:sz w:val="2"/>
          <w:szCs w:val="2"/>
        </w:rPr>
        <w:t>54678313</w:t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sz w:val="24"/>
          <w:rtl w:val="true"/>
        </w:rPr>
        <w:t>כל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עוד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לא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יופקד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הסך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הנ</w:t>
      </w:r>
      <w:r>
        <w:rPr>
          <w:bCs w:val="false"/>
          <w:sz w:val="24"/>
          <w:rtl w:val="true"/>
        </w:rPr>
        <w:t>"</w:t>
      </w:r>
      <w:r>
        <w:rPr>
          <w:bCs w:val="false"/>
          <w:sz w:val="24"/>
          <w:sz w:val="24"/>
          <w:rtl w:val="true"/>
        </w:rPr>
        <w:t>ל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ולא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תחתם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ערבות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צד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ג</w:t>
      </w:r>
      <w:r>
        <w:rPr>
          <w:bCs w:val="false"/>
          <w:sz w:val="24"/>
          <w:rtl w:val="true"/>
        </w:rPr>
        <w:t xml:space="preserve">' </w:t>
      </w:r>
      <w:r>
        <w:rPr>
          <w:bCs w:val="false"/>
          <w:sz w:val="24"/>
          <w:sz w:val="24"/>
          <w:rtl w:val="true"/>
        </w:rPr>
        <w:t>של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שני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ערבים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על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סך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</w:rPr>
        <w:t>50,000</w:t>
      </w:r>
      <w:r>
        <w:rPr>
          <w:bCs w:val="false"/>
          <w:sz w:val="24"/>
          <w:rtl w:val="true"/>
        </w:rPr>
        <w:t xml:space="preserve"> </w:t>
      </w:r>
      <w:r>
        <w:rPr>
          <w:rFonts w:eastAsia="David" w:ascii="David" w:hAnsi="David"/>
          <w:bCs w:val="false"/>
          <w:sz w:val="24"/>
          <w:rtl w:val="true"/>
        </w:rPr>
        <w:t>₪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לא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יעוכב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ביצוע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גזר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הדין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יתר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תנאי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השחרור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ימשיכו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לחול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במקרה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והתנאים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הכספיים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יופקדו</w:t>
      </w:r>
      <w:r>
        <w:rPr>
          <w:bCs w:val="false"/>
          <w:sz w:val="24"/>
          <w:rtl w:val="true"/>
        </w:rPr>
        <w:t xml:space="preserve">, </w:t>
      </w:r>
      <w:r>
        <w:rPr>
          <w:bCs w:val="false"/>
          <w:sz w:val="24"/>
          <w:sz w:val="24"/>
          <w:rtl w:val="true"/>
        </w:rPr>
        <w:t>ועיכוב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היצוע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יכנס</w:t>
      </w:r>
      <w:r>
        <w:rPr>
          <w:rFonts w:cs="Times New Roman"/>
          <w:bCs w:val="false"/>
          <w:sz w:val="24"/>
          <w:sz w:val="24"/>
          <w:rtl w:val="true"/>
        </w:rPr>
        <w:t xml:space="preserve"> </w:t>
      </w:r>
      <w:r>
        <w:rPr>
          <w:bCs w:val="false"/>
          <w:sz w:val="24"/>
          <w:sz w:val="24"/>
          <w:rtl w:val="true"/>
        </w:rPr>
        <w:t>לתוקפו</w:t>
      </w:r>
      <w:r>
        <w:rPr>
          <w:bCs w:val="false"/>
          <w:sz w:val="24"/>
          <w:rtl w:val="true"/>
        </w:rPr>
        <w:t xml:space="preserve">. </w:t>
      </w:r>
    </w:p>
    <w:p>
      <w:pPr>
        <w:pStyle w:val="Style10"/>
        <w:spacing w:lineRule="auto" w:line="360"/>
        <w:ind w:end="0"/>
        <w:jc w:val="both"/>
        <w:rPr>
          <w:bCs w:val="false"/>
          <w:sz w:val="24"/>
        </w:rPr>
      </w:pPr>
      <w:r>
        <w:rPr>
          <w:bCs w:val="false"/>
          <w:sz w:val="24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Cs/>
          <w:color w:val="FFFFFF"/>
          <w:sz w:val="2"/>
          <w:szCs w:val="2"/>
        </w:rPr>
      </w:pPr>
      <w:r>
        <w:rPr>
          <w:rFonts w:cs="David"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מוניץ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 </w:t>
      </w:r>
      <w:r>
        <w:rPr>
          <w:color w:val="000000"/>
          <w:sz w:val="22"/>
          <w:sz w:val="22"/>
          <w:szCs w:val="22"/>
          <w:rtl w:val="true"/>
        </w:rPr>
        <w:t>נחמה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54678313-1176/05</w:t>
      </w:r>
    </w:p>
    <w:p>
      <w:pPr>
        <w:pStyle w:val="Normal"/>
        <w:ind w:end="0"/>
        <w:jc w:val="both"/>
        <w:rPr>
          <w:b/>
          <w:bCs/>
          <w:color w:val="000080"/>
        </w:rPr>
      </w:pPr>
      <w:r>
        <w:rPr>
          <w:b/>
          <w:b/>
          <w:bCs/>
          <w:color w:val="000080"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color w:val="000080"/>
          <w:sz w:val="24"/>
          <w:sz w:val="24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color w:val="000080"/>
          <w:sz w:val="24"/>
          <w:sz w:val="24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rtl w:val="true"/>
        </w:rPr>
        <w:t>ט</w:t>
      </w:r>
      <w:r>
        <w:rPr>
          <w:b/>
          <w:bCs/>
          <w:color w:val="000080"/>
          <w:sz w:val="24"/>
          <w:rtl w:val="true"/>
        </w:rPr>
        <w:t>"</w:t>
      </w:r>
      <w:r>
        <w:rPr>
          <w:b/>
          <w:b/>
          <w:bCs/>
          <w:color w:val="000080"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color w:val="000080"/>
          <w:sz w:val="24"/>
          <w:sz w:val="24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rtl w:val="true"/>
        </w:rPr>
        <w:t>בתמוז</w:t>
      </w:r>
      <w:r>
        <w:rPr>
          <w:b/>
          <w:bCs/>
          <w:color w:val="000080"/>
          <w:sz w:val="24"/>
          <w:rtl w:val="true"/>
        </w:rPr>
        <w:t xml:space="preserve">, </w:t>
      </w:r>
      <w:r>
        <w:rPr>
          <w:b/>
          <w:b/>
          <w:bCs/>
          <w:color w:val="000080"/>
          <w:sz w:val="24"/>
          <w:sz w:val="24"/>
          <w:rtl w:val="true"/>
        </w:rPr>
        <w:t>תשס</w:t>
      </w:r>
      <w:r>
        <w:rPr>
          <w:b/>
          <w:bCs/>
          <w:color w:val="000080"/>
          <w:sz w:val="24"/>
          <w:rtl w:val="true"/>
        </w:rPr>
        <w:t>"</w:t>
      </w:r>
      <w:r>
        <w:rPr>
          <w:b/>
          <w:b/>
          <w:bCs/>
          <w:color w:val="000080"/>
          <w:sz w:val="24"/>
          <w:sz w:val="24"/>
          <w:rtl w:val="true"/>
        </w:rPr>
        <w:t>ו</w:t>
      </w:r>
      <w:r>
        <w:rPr>
          <w:rFonts w:cs="Times New Roman"/>
          <w:b/>
          <w:b/>
          <w:bCs/>
          <w:color w:val="000080"/>
          <w:sz w:val="24"/>
          <w:sz w:val="24"/>
          <w:rtl w:val="true"/>
        </w:rPr>
        <w:t xml:space="preserve"> </w:t>
      </w:r>
      <w:r>
        <w:rPr>
          <w:b/>
          <w:bCs/>
          <w:color w:val="000080"/>
          <w:sz w:val="24"/>
          <w:rtl w:val="true"/>
        </w:rPr>
        <w:t>(</w:t>
      </w:r>
      <w:r>
        <w:rPr>
          <w:b/>
          <w:bCs/>
          <w:color w:val="000080"/>
          <w:sz w:val="24"/>
        </w:rPr>
        <w:t>12</w:t>
      </w:r>
      <w:r>
        <w:rPr>
          <w:b/>
          <w:bCs/>
          <w:color w:val="000080"/>
          <w:sz w:val="24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rtl w:val="true"/>
        </w:rPr>
        <w:t>ביולי</w:t>
      </w:r>
      <w:r>
        <w:rPr>
          <w:rFonts w:cs="Times New Roman"/>
          <w:b/>
          <w:b/>
          <w:bCs/>
          <w:color w:val="000080"/>
          <w:sz w:val="24"/>
          <w:sz w:val="24"/>
          <w:rtl w:val="true"/>
        </w:rPr>
        <w:t xml:space="preserve"> </w:t>
      </w:r>
      <w:r>
        <w:rPr>
          <w:b/>
          <w:bCs/>
          <w:color w:val="000080"/>
          <w:sz w:val="24"/>
        </w:rPr>
        <w:t>2006</w:t>
      </w:r>
      <w:r>
        <w:rPr>
          <w:b/>
          <w:bCs/>
          <w:color w:val="000080"/>
          <w:sz w:val="24"/>
          <w:rtl w:val="true"/>
        </w:rPr>
        <w:t xml:space="preserve">) </w:t>
      </w:r>
      <w:r>
        <w:rPr>
          <w:b/>
          <w:b/>
          <w:bCs/>
          <w:color w:val="000080"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color w:val="000080"/>
          <w:sz w:val="24"/>
          <w:sz w:val="24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rtl w:val="true"/>
        </w:rPr>
        <w:t>הצדדים</w:t>
      </w:r>
      <w:r>
        <w:rPr>
          <w:b/>
          <w:bCs/>
          <w:color w:val="000080"/>
          <w:sz w:val="24"/>
          <w:rtl w:val="true"/>
        </w:rPr>
        <w:t xml:space="preserve">. </w:t>
      </w:r>
      <w:r>
        <w:rPr>
          <w:b/>
          <w:bCs/>
          <w:color w:val="000080"/>
          <w:rtl w:val="true"/>
        </w:rPr>
        <w:t xml:space="preserve">                                                                                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מוניץ נחמה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bookmarkStart w:id="16" w:name="Decision1"/>
      <w:bookmarkEnd w:id="16"/>
      <w:r>
        <w:rPr>
          <w:sz w:val="16"/>
          <w:szCs w:val="18"/>
        </w:rPr>
        <w:t>001176/05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054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מרב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  <w:sz w:val="16"/>
          <w:szCs w:val="18"/>
        </w:rPr>
      </w:pPr>
      <w:r>
        <w:rPr>
          <w:color w:val="000000"/>
          <w:sz w:val="16"/>
          <w:sz w:val="16"/>
          <w:szCs w:val="18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8"/>
          <w:rtl w:val="true"/>
        </w:rPr>
        <w:t xml:space="preserve"> </w:t>
      </w:r>
      <w:r>
        <w:rPr>
          <w:color w:val="000000"/>
          <w:sz w:val="16"/>
          <w:sz w:val="16"/>
          <w:szCs w:val="18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/Users/liorb/Downloads/study2025-p2/m05001176-407.doc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1176/05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טלאל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ענאד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פאהום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/>
      <w:ind w:hanging="0" w:start="0" w:end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30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b/>
      <w:bCs/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435131" TargetMode="External"/><Relationship Id="rId12" Type="http://schemas.openxmlformats.org/officeDocument/2006/relationships/hyperlink" Target="http://www.nevo.co.il/case/5765638" TargetMode="External"/><Relationship Id="rId13" Type="http://schemas.openxmlformats.org/officeDocument/2006/relationships/hyperlink" Target="http://www.nevo.co.il/case/6030667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2016-10-30T16:24:00Z</dcterms:created>
  <dc:creator>Shahar Goldstein</dc:creator>
  <dc:description/>
  <cp:keywords/>
  <dc:language>en-IL</dc:language>
  <cp:lastModifiedBy>hofit</cp:lastModifiedBy>
  <cp:lastPrinted>2006-06-21T10:52:00Z</cp:lastPrinted>
  <dcterms:modified xsi:type="dcterms:W3CDTF">2016-10-30T16:24:00Z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טלאל בן ענאד פאהום</vt:lpwstr>
  </property>
  <property fmtid="{D5CDD505-2E9C-101B-9397-08002B2CF9AE}" pid="4" name="CASESLISTTMP1">
    <vt:lpwstr>5762686;435131;5765638;6030667</vt:lpwstr>
  </property>
  <property fmtid="{D5CDD505-2E9C-101B-9397-08002B2CF9AE}" pid="5" name="CITY">
    <vt:lpwstr>נצ'</vt:lpwstr>
  </property>
  <property fmtid="{D5CDD505-2E9C-101B-9397-08002B2CF9AE}" pid="6" name="DATE">
    <vt:lpwstr>20060712</vt:lpwstr>
  </property>
  <property fmtid="{D5CDD505-2E9C-101B-9397-08002B2CF9AE}" pid="7" name="ISABSTRACT">
    <vt:lpwstr>Y</vt:lpwstr>
  </property>
  <property fmtid="{D5CDD505-2E9C-101B-9397-08002B2CF9AE}" pid="8" name="JUDGE">
    <vt:lpwstr>מוניץ  נחמה</vt:lpwstr>
  </property>
  <property fmtid="{D5CDD505-2E9C-101B-9397-08002B2CF9AE}" pid="9" name="LAWLISTTMP1">
    <vt:lpwstr>70301/144.a;144.b;144.c</vt:lpwstr>
  </property>
  <property fmtid="{D5CDD505-2E9C-101B-9397-08002B2CF9AE}" pid="10" name="LAWYER">
    <vt:lpwstr>שחם;מרוז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1176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12</vt:lpwstr>
  </property>
</Properties>
</file>