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16-10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יאסין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2010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סגן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תאופיק כתילי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זיד יאסין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  <w:r>
        <w:rPr>
          <w:vanish/>
          <w:highlight w:val="yellow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יעל שוחט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פינק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סרי ח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ורי</w:t>
      </w:r>
    </w:p>
    <w:p>
      <w:pPr>
        <w:pStyle w:val="12"/>
        <w:ind w:end="0"/>
        <w:jc w:val="star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 xml:space="preserve">הובא </w:t>
      </w:r>
      <w:r>
        <w:rPr>
          <w:b w:val="false"/>
          <w:bCs w:val="false"/>
          <w:sz w:val="22"/>
          <w:szCs w:val="22"/>
          <w:u w:val="none"/>
          <w:rtl w:val="true"/>
        </w:rPr>
        <w:t>[</w:t>
      </w:r>
      <w:r>
        <w:rPr>
          <w:b w:val="false"/>
          <w:b w:val="false"/>
          <w:bCs w:val="false"/>
          <w:sz w:val="22"/>
          <w:sz w:val="22"/>
          <w:szCs w:val="22"/>
          <w:u w:val="none"/>
          <w:rtl w:val="true"/>
        </w:rPr>
        <w:t>באמצעות הליווי</w:t>
      </w:r>
      <w:r>
        <w:rPr>
          <w:b w:val="false"/>
          <w:bCs w:val="false"/>
          <w:sz w:val="22"/>
          <w:szCs w:val="22"/>
          <w:u w:val="none"/>
          <w:rtl w:val="true"/>
        </w:rPr>
        <w:t>]</w:t>
      </w:r>
    </w:p>
    <w:p>
      <w:pPr>
        <w:pStyle w:val="12"/>
        <w:ind w:end="0"/>
        <w:jc w:val="star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כתב האישום והשתלשלות העניינים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 xml:space="preserve">בהכרעת הדין מיום </w:t>
      </w:r>
      <w:r>
        <w:rPr>
          <w:rFonts w:cs="Arial" w:ascii="Arial" w:hAnsi="Arial"/>
        </w:rPr>
        <w:t>15.4.10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בשתי עבירות של שוד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  <w:b/>
          <w:bCs/>
        </w:rPr>
        <w:t>402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החזקת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  <w:b/>
          <w:bCs/>
        </w:rPr>
        <w:t>186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של 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סעי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</w:rPr>
        <w:t>499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)(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של הסתייעות ברכב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  <w:b/>
          <w:bCs/>
        </w:rPr>
        <w:t>43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rtl w:val="true"/>
          </w:rPr>
          <w:t>פקודת התעבורה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פקודת התעבורה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קבלת דבר במרמה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  <w:b/>
          <w:bCs/>
        </w:rPr>
        <w:t>415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 ועבירה של נהיגה בזמן פסילה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  <w:b/>
          <w:bCs/>
        </w:rPr>
        <w:t>67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לפקודת התעבורה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זוכה מעבירה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נשיאתו או הובלתו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כתב האישום מייחס לנאשם שני אירועים המפורטים בשני אישומים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פי המתואר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22.11.09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סמוך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 הנאשם קשר עם אחר לשדוד מתדלק בתחנת דלק הממוקמת על כביש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עוקף נצרת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ולשם מימוש השוד הצטיידו השניים באקדח וסכין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23.11.09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01:20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הנאשם והאחר לתחנת הדלק ברכב מסוג אאודי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כאשר האחר נהג והנאשם לצידו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רעולי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נשאו עימם ברכב סכין ואקדח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יצא 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לעבר המתדלק שהיה בחנות הצמודה לתחנה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והורה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באיומי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להעביר לידיו את הכסף שבקופת החנות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זמן האחר ישב ברכב וכיוון אקדח לעבר המתדלק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המתדלק עשה כמצוות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הוציא מקופת החנות סך של </w:t>
      </w:r>
      <w:r>
        <w:rPr>
          <w:rFonts w:cs="Arial" w:ascii="Arial" w:hAnsi="Arial"/>
        </w:rPr>
        <w:t>1,341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וזאת שעה שהנאשם ניצב עם סכינו בצמוד למתדלק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לקח את הכסף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אל הרכב ונמלט מן 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פי המתואר 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30.11.09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סמוך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הנאשם קשר עם אחר לשדוד מתדלק בתחנת דלק הסמוכה לכפר אכסאל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ולשם מימוש השוד הצטיידו השניים במברג אותו נשא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23:25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השניים לתחנת הדלק ברכב כאשר הנאשם נוהג והאחר לידו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שעה שהנאשם פסול מלנהוג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ביקש מהמתדלק לתדלק את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ביקש ממנו לגשת עימו לחנות הצמודה שכן הוא מעוניין לקנות שתייה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נכנס עם המתדלק לחנות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מהמקרר שתי פחיות שתייה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הניחן על הדלפק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וניגש למתדלק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איים על המתדלק תוך שהוא מצמיד לעורפו מברג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ואמר לו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זה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תוציא את כל הכסף מהקופה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עוד איים על המתדלק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באמרו כי לחברו היושב ברכב יש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ושאם המתדלק ינסה לפעול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החבר ירה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עשה כמצוות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הוציא מן הקופה סך של </w:t>
      </w:r>
      <w:r>
        <w:rPr>
          <w:rFonts w:cs="Arial" w:ascii="Arial" w:hAnsi="Arial"/>
        </w:rPr>
        <w:t>1,800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והנאשם נטל את הכסף וניגש לרכב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הנאשם נמלט מהמקום מבלי לשלם את מחיר הדלק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בסך </w:t>
      </w:r>
      <w:r>
        <w:rPr>
          <w:rFonts w:cs="Arial" w:ascii="Arial" w:hAnsi="Arial"/>
        </w:rPr>
        <w:t>285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טיעוני הצדדים לעונש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עמדה על חומרת המעשים בהם הורשע הנאשם וטענה כי מעשיו של הנאשם עלולים היו בקלות להסתיים באופן טרגי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טענה המאשימה כי העבירות בהן הורשע הנאשם הפכו לנפוצות בחברה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והמציאות הוכיחה עד כמה רבה הסכנה הטמונה לחייהם של הבריות ולשלומם בעבירות של שוד מזוין כגון זו שהנאשם הורשע 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הוסיפה וטענה כי לחובתו של הנאשם עבר פלילי עשיר הכולל מאסרים קודמים אשר לא הרתיעו את הנאשם מלשוב ולבצע עבירות חמורות נוספות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טענה המאשימה כי הנאשם אינו משתף פעולה ולא מוסר את שמו של מי שהיה עימו במשך אירועי השוד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כן ובהתחשב בנסיבותיו של התיק ביקשה המאשימה להטיל על הנאשם עונש מאסר ממשוך שלא יפחת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למתלוננים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בנאשם אשר גדל בבית בנסיבות קשות ביותר והינו קורבן לנסיבות חייו הקשות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טען הסניגור שהעבירה האחרונה שבוצעה על ידי הנאשם הינה משנת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ומאז ועד היום הנאשם לא הורשע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הוסיף וטען שבמקרה הנדון לא נגרם כל נזק למי מהמתלוננים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כן לא היה שימוש בנשק חם וסכום הכסף שנגנב מהמתלוננים היה פעוט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הפנה לפסיקה רלוונטית וביקש להטיל על הנאשם עונש מידתי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ושירוצה בבית סוהר שיקומי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הניתן בבית סוהר חרמון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דיון והכרעה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הורשע בעבירות מן החמורות בקודקס הפלילי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יזם וביצע שני ארועי שוד מתוכננים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ביחד עם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שבמהלכם שדד סכומי כסף משני מתדלקים בשתי תחנות דלק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בתחנות דלק נהיו למכת מדינה על כל המשתמע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אלו נהיו נפוצות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תכופות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מבוצעות גם לאור יום בתעוזה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תוצאותיהן הרות אסון בכל המישורים ולכל רבדי החברה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פעם עבירות השוד וההתפרצויות מסתיימות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 לנזק הממוני והחומרי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בנזק נפשי ופיזי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עובדי תחנות הדלק ובמיוחד אלה שעובדים לפרנסתם בשעות לילה מאוחרות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לספק בין השאר שירות למשתמשים בדרכים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מוצאים את עצמם קורבנות למעשיהם של עבריינים כדוגמת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אמור להושיט יד ולספק הגנה לכלל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אלה שעובדים לפרנסתם בתחנות דלק ובתי עסק למינהם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על חשיבותה הרבה של ההגנה אשר אמורה להיות מושטת למתדלקים 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hyperlink r:id="rId7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4756/07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ליעד נחום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ניתן ביום </w:t>
      </w:r>
      <w:r>
        <w:rPr>
          <w:rFonts w:cs="Arial" w:ascii="Arial" w:hAnsi="Arial"/>
          <w:b/>
          <w:bCs/>
        </w:rPr>
        <w:t>28.1.08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start="1286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שוד מתדלקים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סוג עיסוק הזכאי במובהק להגנת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בהיותו חשוף בימים ובמיוחד בלילות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לעתים בבדידות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בתחנת הדלק תוך מתן שירות חיוני לציבור</w:t>
      </w:r>
      <w:r>
        <w:rPr>
          <w:rFonts w:cs="Arial" w:ascii="Arial" w:hAnsi="Arial"/>
          <w:b/>
          <w:bCs/>
          <w:rtl w:val="true"/>
        </w:rPr>
        <w:t>"</w:t>
      </w:r>
    </w:p>
    <w:p>
      <w:pPr>
        <w:pStyle w:val="Normal"/>
        <w:spacing w:lineRule="auto" w:line="360"/>
        <w:ind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ביצע את השוד בעזרתו של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שימוש בכלי 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ומשיקולים השמורים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חשף את זהותו של האחר והפועל היוצא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שבקרבנו וברשות הרבים עדיין מסתובב אדם מסוכן בעל פוטנציאל עברייני המסוגל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להנחית את המכה שלו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סיכון מיוחד טמון במעשיו של הנאשם והוא  עברו הפלילי העשיר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ולהלן אפרט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1997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 על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162/97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ותיק </w:t>
      </w:r>
      <w:r>
        <w:rPr>
          <w:rFonts w:cs="Arial" w:ascii="Arial" w:hAnsi="Arial"/>
        </w:rPr>
        <w:t>4641/97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בית משפט לנוער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עכו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עונש מאסר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בגין הרשעתו בעבירות של בריחה ממשמר חוקי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גניבת אופניים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פריצה לרכב בכוונה לגנוב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 מרכב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קבלת דבר בתחבולה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כניסה למגורים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תפילה לבצע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בעילה בכוח וניסיון להפרעת שוטר במילוי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1999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הוטלה על הנאשם התחייבות להימנע מעבירה ומאסר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שהורשע בעבירה של תקיפה סתם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בשנת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 על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2495/99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בית משפט שלום נצרת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עונש של מאסר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 וזאת בגין הרשעתו בעבירה של חבלה במזיד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1487/00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בית משפט שלום טבריה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הושת על הנאשם עונש מאסר על תנאי בגין הרשעתו בעבירות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בשנת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2925/99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בית משפט שלום נצרת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הוטל על הנאשם עונש של מאסר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ומאסר על תנאי בגין הרשעתו בעבירה של תקיפת שוטר בעת 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סתם והתנהגות פרועה במקום 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בתיק </w:t>
      </w:r>
      <w:r>
        <w:rPr>
          <w:rFonts w:cs="Arial" w:ascii="Arial" w:hAnsi="Arial"/>
        </w:rPr>
        <w:t>3529/00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בית משפט שלום נצרת הוטלה על הנאשם התחייבות להימנע מעבירה ועונשים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הרשעתו בעבירה של תקיפה סתם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 על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2154/01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בית משפט שלום נצרת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עונש מאסר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ועונשים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הרשעתו בעבירה של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הפרת הוראה חוקית והעלבת עובד 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 על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2677/02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בית משפט שלום נצרת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הרשעתו בעבירה של הפרעה לשוטר במילוי תפקידו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כמו כן לנאשם עבירות תנועה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ובזמן ביצוע העבירות היה פסול מלהחזיק ברישיון נהיגה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מהאמור לעיל עולה תמונה ברורה לפיה המדובר בנאשם אשר בחר לעצמו את הפשע כדרך 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ריצוי תקופות ממושכות של מאסרים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הרתיעו אותו ואף  מצאנו אותו חוזר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וביתר שאת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ואם לא די באירוע שוד אחד הרי הנאשם ביצע שני אירועים בקפידה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בתכנון ובתכיפות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המיוחסות לנאשם הינן חמורות ביותר ומכל אשר נאמר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לעשות כל הניתן על מנת למגר תופעות מעין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והדרך היעילה לכך הינה הטלת עונשים כבדים ומכאיבים שיש בהם כדי להרתיע מפני הישנות המקרים הן על ידי הנאשם הספציפי והן על ידי עבריינים פוטנציאליים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עמד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חומרת עבירת השוד ועל הענישה האמורה להיות מוטלת בגין עבירות אלו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</w:t>
      </w:r>
      <w:r>
        <w:rPr>
          <w:rFonts w:cs="Arial" w:ascii="Arial" w:hAnsi="Arial"/>
          <w:rtl w:val="true"/>
        </w:rPr>
        <w:t xml:space="preserve">, </w:t>
      </w:r>
      <w:hyperlink r:id="rId8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3069/05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אורן אבוטבול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1466"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משפט זה כבר קבע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עבירות שוד ואלימות ובמיוחד כאלה המבוצעות בצוותא לאחר תכנון מראש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מצריכות תגובה עונשית חמורה ואפקטיבית כמסר של הגנה על ביטחון הציבור וכמסר חינוכי שייקלט בתודעת הציבור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לצד כל השיקולים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עומדת לזכות הנאשם חרטתו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אותה הביע בפני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אינני מקבל את טיעוניו של 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שלפיהם הנאשם ביצע את העבירות על רקע נסיבותיו האישיות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אין בטיעון זה כל משקל לקולא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שלא תשמע טענתו של 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נגרם נזק פיזי למתדלקים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עצם העובדה שבמעשה השוד עצמו טמון סיכון אדיר לחיי אדם ושלומו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 די כדי להוות שיקול לחומרא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עיינתי בפסקי הדין אליהם הפנו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אעיר כי כל מקרה ייבחן לגופו וכל נאשם הינו עולם ומלואו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מלאכת גזירת הדין הינה לעולם אינדיווידואלית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ער לרמת הענישה שהוצגה לעיוני על ידי 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עבירות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 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הגיעה העת לצאת במסר חד וברור לציבור כולו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שעבירות הרכוש למיניהן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התפרצויות ושוד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אינן משתלמות ומבצעיהן ישאו בעונשים כבדים ומכאיבים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לשם יראו ויראו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 xml:space="preserve"> </w:t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 ולאור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ובהתחשב במכלול הנתונים הן לקולא והן לחמורה הנני גוזר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אני דן את הנאשם למאסר בפועל לתקופה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למשך שלוש שנים מיום סיום המאסר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שהנאשם לא יעבור ויורשע בפרק זמן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עבירה מהעבירות בהן הורשע בכתב אישום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אני דן את הנאשם לתשלום 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 ₪, </w:t>
      </w:r>
      <w:r>
        <w:rPr>
          <w:rFonts w:ascii="Arial" w:hAnsi="Arial" w:cs="Arial"/>
          <w:rtl w:val="true"/>
        </w:rPr>
        <w:t>או חודשיים מאסר שישא הנאשם בנוסף לכל מאסר אחר שהוטל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אני פוסל את הנאשם מלהחזיק ולקבל רשיון נהיגה למשך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מיום סיום ריצוי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כוחו 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eastAsia="David" w:cs="David"/>
                <w:rtl w:val="true"/>
              </w:rPr>
              <w:drawing>
                <wp:inline distT="0" distB="0" distL="0" distR="0">
                  <wp:extent cx="914400" cy="95186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51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סגן נשיא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קארן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מגידס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00"/>
          <w:sz w:val="28"/>
          <w:sz w:val="28"/>
          <w:rtl w:val="true"/>
        </w:rPr>
        <w:t>הודעה למנויים על עריכה ושינויים במסמכי פסיקה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 xml:space="preserve">חקיקה ועוד באתר נבו </w:t>
      </w:r>
      <w:r>
        <w:rPr>
          <w:color w:val="000000"/>
          <w:sz w:val="28"/>
          <w:rtl w:val="true"/>
        </w:rPr>
        <w:t xml:space="preserve">- </w:t>
      </w:r>
      <w:r>
        <w:rPr>
          <w:color w:val="000000"/>
          <w:sz w:val="28"/>
          <w:sz w:val="28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/Users/liorb/Downloads/study2025-p2/ME-10-16.doc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16-10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הצפון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זיד יאסין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עציר</w:t>
    </w:r>
    <w:r>
      <w:rPr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6-10"/>
    <w:docVar w:name="caseId" w:val="56859479"/>
    <w:docVar w:name="deriveClass" w:val="NGCS.Protocol.BL.Client.ProtocolBLClientCriminal"/>
    <w:docVar w:name="firstPageNumber" w:val="1"/>
    <w:docVar w:name="MyInfo" w:val="This document was extracted from Nevo's site"/>
    <w:docVar w:name="NGCS.caseInterestID" w:val="-1"/>
    <w:docVar w:name="NGCS.caseTypeID" w:val="10048"/>
    <w:docVar w:name="NGCS.courtID" w:val="12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020443537@GOV.IL"/>
    <w:docVar w:name="privellegeId" w:val="1"/>
    <w:docVar w:name="protocolId" w:val="918627"/>
    <w:docVar w:name="releaseSign" w:val="0"/>
    <w:docVar w:name="sittingDateTime" w:val="12/05/2010 11:00     "/>
    <w:docVar w:name="sittingId" w:val="6972764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968932" TargetMode="External"/><Relationship Id="rId8" Type="http://schemas.openxmlformats.org/officeDocument/2006/relationships/hyperlink" Target="http://www.nevo.co.il/case/5873746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2016-02-08T14:57:00Z</dcterms:created>
  <dc:creator> </dc:creator>
  <dc:description/>
  <cp:keywords/>
  <dc:language>en-IL</dc:language>
  <cp:lastModifiedBy>hofit</cp:lastModifiedBy>
  <cp:lastPrinted>2010-05-12T09:45:00Z</cp:lastPrinted>
  <dcterms:modified xsi:type="dcterms:W3CDTF">2016-02-08T14:57:00Z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הצפון-פלילי</vt:lpwstr>
  </property>
  <property fmtid="{D5CDD505-2E9C-101B-9397-08002B2CF9AE}" pid="3" name="APPELLEE">
    <vt:lpwstr>זיד יאסין (עציר)</vt:lpwstr>
  </property>
  <property fmtid="{D5CDD505-2E9C-101B-9397-08002B2CF9AE}" pid="4" name="CASESLISTTMP1">
    <vt:lpwstr>5968932;5873746</vt:lpwstr>
  </property>
  <property fmtid="{D5CDD505-2E9C-101B-9397-08002B2CF9AE}" pid="5" name="CITY">
    <vt:lpwstr>נצ'</vt:lpwstr>
  </property>
  <property fmtid="{D5CDD505-2E9C-101B-9397-08002B2CF9AE}" pid="6" name="DATE">
    <vt:lpwstr>20100512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תאופיק כתילי</vt:lpwstr>
  </property>
  <property fmtid="{D5CDD505-2E9C-101B-9397-08002B2CF9AE}" pid="10" name="LAWLISTTMP1">
    <vt:lpwstr>70301:2</vt:lpwstr>
  </property>
  <property fmtid="{D5CDD505-2E9C-101B-9397-08002B2CF9AE}" pid="11" name="LAWLISTTMP2">
    <vt:lpwstr>5227</vt:lpwstr>
  </property>
  <property fmtid="{D5CDD505-2E9C-101B-9397-08002B2CF9AE}" pid="12" name="LAWYER">
    <vt:lpwstr>יעל שוחט פינק;סרי ח'ורי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16</vt:lpwstr>
  </property>
  <property fmtid="{D5CDD505-2E9C-101B-9397-08002B2CF9AE}" pid="26" name="NEWPARTB">
    <vt:lpwstr/>
  </property>
  <property fmtid="{D5CDD505-2E9C-101B-9397-08002B2CF9AE}" pid="27" name="NEWPARTC">
    <vt:lpwstr>10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>16</vt:lpwstr>
  </property>
  <property fmtid="{D5CDD505-2E9C-101B-9397-08002B2CF9AE}" pid="34" name="PROCYEAR">
    <vt:lpwstr>10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me 10 16 htm</vt:lpwstr>
  </property>
  <property fmtid="{D5CDD505-2E9C-101B-9397-08002B2CF9AE}" pid="37" name="TYPE">
    <vt:lpwstr>2</vt:lpwstr>
  </property>
  <property fmtid="{D5CDD505-2E9C-101B-9397-08002B2CF9AE}" pid="38" name="TYPE_ABS_DATE">
    <vt:lpwstr>390020100512</vt:lpwstr>
  </property>
  <property fmtid="{D5CDD505-2E9C-101B-9397-08002B2CF9AE}" pid="39" name="TYPE_N_DATE">
    <vt:lpwstr>39020100512</vt:lpwstr>
  </property>
  <property fmtid="{D5CDD505-2E9C-101B-9397-08002B2CF9AE}" pid="40" name="VOLUME">
    <vt:lpwstr/>
  </property>
  <property fmtid="{D5CDD505-2E9C-101B-9397-08002B2CF9AE}" pid="41" name="WORDNUMPAGES">
    <vt:lpwstr>6</vt:lpwstr>
  </property>
</Properties>
</file>