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  <w:gridCol w:w="964"/>
        <w:gridCol w:w="4706"/>
        <w:gridCol w:w="908"/>
      </w:tblGrid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 </w:t>
            </w:r>
            <w:r>
              <w:rPr>
                <w:sz w:val="28"/>
              </w:rPr>
              <w:t>000416/99</w:t>
            </w:r>
          </w:p>
        </w:tc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משפט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מחוזי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נצרת</w:t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8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286" w:hRule="atLeast"/>
        </w:trPr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8"/>
              </w:rPr>
            </w:pPr>
            <w:r>
              <w:rPr>
                <w:sz w:val="28"/>
              </w:rPr>
              <w:t>18/04/2001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תאריך</w:t>
            </w:r>
            <w:r>
              <w:rPr>
                <w:sz w:val="28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כב</w:t>
            </w:r>
            <w:r>
              <w:rPr>
                <w:sz w:val="28"/>
                <w:rtl w:val="true"/>
              </w:rPr>
              <w:t xml:space="preserve">' </w:t>
            </w:r>
            <w:r>
              <w:rPr>
                <w:sz w:val="28"/>
                <w:sz w:val="28"/>
                <w:rtl w:val="true"/>
              </w:rPr>
              <w:t>השופט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זיאד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הווארי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בפני</w:t>
            </w:r>
            <w:r>
              <w:rPr>
                <w:sz w:val="28"/>
                <w:rtl w:val="true"/>
              </w:rPr>
              <w:t>: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 </w:t>
      </w:r>
    </w:p>
    <w:tbl>
      <w:tblPr>
        <w:tblW w:w="8647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9"/>
        <w:gridCol w:w="2380"/>
        <w:gridCol w:w="3063"/>
        <w:gridCol w:w="1757"/>
        <w:gridCol w:w="30"/>
        <w:gridCol w:w="133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Heading4"/>
              <w:ind w:end="0"/>
              <w:jc w:val="both"/>
              <w:rPr>
                <w:b/>
                <w:bCs/>
                <w:u w:val="none"/>
              </w:rPr>
            </w:pPr>
            <w:bookmarkStart w:id="3" w:name="כינוי_א"/>
            <w:bookmarkEnd w:id="3"/>
            <w:r>
              <w:rPr>
                <w:b/>
                <w:b/>
                <w:bCs/>
                <w:u w:val="none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u w:val="none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 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-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bookmarkStart w:id="4" w:name="שם_ב"/>
            <w:bookmarkEnd w:id="4"/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> 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בורהאן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עבדאללה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עבאס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מופיד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עדנאן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עבאס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איהאב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עדנאן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עבאס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Heading5"/>
              <w:ind w:end="0"/>
              <w:jc w:val="both"/>
              <w:rPr>
                <w:u w:val="none"/>
              </w:rPr>
            </w:pPr>
            <w:bookmarkStart w:id="5" w:name="כינוי_ב"/>
            <w:bookmarkEnd w:id="5"/>
            <w:r>
              <w:rPr>
                <w:u w:val="none"/>
                <w:rtl w:val="true"/>
              </w:rPr>
              <w:t>הנאשמים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85" w:type="dxa"/>
            <w:gridSpan w:val="2"/>
            <w:tcBorders/>
          </w:tcPr>
          <w:p>
            <w:pPr>
              <w:pStyle w:val="Normal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</w:p>
        </w:tc>
        <w:tc>
          <w:tcPr>
            <w:tcW w:w="7230" w:type="dxa"/>
            <w:gridSpan w:val="4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bookmarkStart w:id="6" w:name="FirstLawyer"/>
            <w:bookmarkEnd w:id="6"/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            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: </w:t>
            </w:r>
            <w:r>
              <w:rPr>
                <w:b/>
                <w:b/>
                <w:bCs/>
                <w:rtl w:val="true"/>
              </w:rPr>
              <w:t>גלעד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הנאשמים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בעצמם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: </w:t>
            </w:r>
            <w:r>
              <w:rPr>
                <w:b/>
                <w:b/>
                <w:bCs/>
                <w:rtl w:val="true"/>
              </w:rPr>
              <w:t>זערורה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ממשרד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מסאלחה</w:t>
            </w:r>
          </w:p>
        </w:tc>
        <w:tc>
          <w:tcPr>
            <w:tcW w:w="1332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נוכחים</w:t>
            </w:r>
            <w:r>
              <w:rPr>
                <w:b/>
                <w:bCs/>
                <w:szCs w:val="26"/>
                <w:rtl w:val="true"/>
              </w:rPr>
              <w:t>:</w:t>
            </w:r>
          </w:p>
        </w:tc>
      </w:tr>
    </w:tbl>
    <w:p>
      <w:pPr>
        <w:pStyle w:val="Normal"/>
        <w:ind w:end="0"/>
        <w:jc w:val="center"/>
        <w:rPr>
          <w:b/>
          <w:bCs/>
        </w:rPr>
      </w:pPr>
      <w:bookmarkStart w:id="7" w:name="סוג_מסמך"/>
      <w:bookmarkEnd w:id="7"/>
      <w:r>
        <w:rPr>
          <w:b/>
          <w:bCs/>
          <w:rtl w:val="true"/>
        </w:rPr>
        <w:t> </w:t>
      </w:r>
    </w:p>
    <w:p>
      <w:pPr>
        <w:pStyle w:val="Normal"/>
        <w:ind w:end="0"/>
        <w:jc w:val="center"/>
        <w:rPr>
          <w:b/>
          <w:bCs/>
          <w:u w:val="single"/>
        </w:rPr>
      </w:pPr>
      <w:bookmarkStart w:id="8" w:name="LastJudge"/>
      <w:bookmarkStart w:id="9" w:name="PsakDin"/>
      <w:bookmarkEnd w:id="8"/>
      <w:bookmarkEnd w:id="9"/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דין</w:t>
      </w:r>
    </w:p>
    <w:p>
      <w:pPr>
        <w:pStyle w:val="Normal"/>
        <w:ind w:hanging="720" w:start="720" w:end="0"/>
        <w:jc w:val="both"/>
        <w:rPr/>
      </w:pPr>
      <w:bookmarkStart w:id="10" w:name="PsakDin"/>
      <w:bookmarkEnd w:id="10"/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bookmarkStart w:id="11" w:name="ABSTRACT_START"/>
      <w:bookmarkEnd w:id="11"/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329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413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bookmarkStart w:id="12" w:name="ABSTRACT_END"/>
      <w:bookmarkEnd w:id="12"/>
      <w:r>
        <w:rPr>
          <w:rtl w:val="true"/>
        </w:rPr>
        <w:t xml:space="preserve">. 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339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8.11.99</w:t>
      </w:r>
      <w:r>
        <w:rPr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וולוו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כשהיה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הברזל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פצעים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נופצה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, </w:t>
      </w:r>
      <w:r>
        <w:rPr>
          <w:rtl w:val="true"/>
        </w:rPr>
        <w:t>ונסדקה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8.11.99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2,3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12707/97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שמתאפיינות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וביריות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מדאיגה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ממשוכות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בורהאן</w:t>
      </w:r>
      <w:r>
        <w:rPr>
          <w:b/>
          <w:bCs/>
          <w:u w:val="single"/>
          <w:rtl w:val="true"/>
        </w:rPr>
        <w:t xml:space="preserve">): </w:t>
      </w:r>
    </w:p>
    <w:p>
      <w:pPr>
        <w:pStyle w:val="Normal"/>
        <w:ind w:hanging="615" w:start="216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615" w:start="216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160" w:leader="none"/>
        </w:tabs>
        <w:ind w:hanging="615" w:start="2160"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/>
          <w:sz w:val="14"/>
          <w:szCs w:val="14"/>
          <w:rtl w:val="true"/>
        </w:rPr>
        <w:t xml:space="preserve">             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 xml:space="preserve">,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1.6.01</w:t>
      </w:r>
      <w:r>
        <w:rPr>
          <w:rtl w:val="true"/>
        </w:rPr>
        <w:t xml:space="preserve">, </w:t>
      </w:r>
      <w:r>
        <w:rPr/>
        <w:t>1.7.01</w:t>
      </w:r>
      <w:r>
        <w:rPr>
          <w:rtl w:val="true"/>
        </w:rPr>
        <w:t xml:space="preserve">, </w:t>
      </w:r>
      <w:r>
        <w:rPr/>
        <w:t>1.8.01</w:t>
      </w:r>
      <w:r>
        <w:rPr>
          <w:rtl w:val="true"/>
        </w:rPr>
        <w:t xml:space="preserve">. </w:t>
      </w:r>
    </w:p>
    <w:p>
      <w:pPr>
        <w:pStyle w:val="Normal"/>
        <w:ind w:hanging="720" w:start="216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מופיד</w:t>
      </w:r>
      <w:r>
        <w:rPr>
          <w:b/>
          <w:bCs/>
          <w:u w:val="single"/>
          <w:rtl w:val="true"/>
        </w:rPr>
        <w:t xml:space="preserve">):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באישום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הראשון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2160" w:leader="none"/>
        </w:tabs>
        <w:ind w:hanging="615" w:start="2160"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/>
          <w:sz w:val="14"/>
          <w:szCs w:val="14"/>
          <w:rtl w:val="true"/>
        </w:rPr>
        <w:t xml:space="preserve">             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160" w:leader="none"/>
        </w:tabs>
        <w:ind w:hanging="615" w:start="2160"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/>
          <w:sz w:val="14"/>
          <w:szCs w:val="14"/>
          <w:rtl w:val="true"/>
        </w:rPr>
        <w:t xml:space="preserve">             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ind w:hanging="615" w:start="216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 xml:space="preserve">,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1.6.01</w:t>
      </w:r>
      <w:r>
        <w:rPr>
          <w:rtl w:val="true"/>
        </w:rPr>
        <w:t xml:space="preserve">, </w:t>
      </w:r>
      <w:r>
        <w:rPr/>
        <w:t>1.7.01</w:t>
      </w:r>
      <w:r>
        <w:rPr>
          <w:rtl w:val="true"/>
        </w:rPr>
        <w:t xml:space="preserve">, </w:t>
      </w:r>
      <w:r>
        <w:rPr/>
        <w:t>1.8.01</w:t>
      </w:r>
      <w:r>
        <w:rPr>
          <w:rtl w:val="true"/>
        </w:rPr>
        <w:t xml:space="preserve">. </w:t>
      </w:r>
    </w:p>
    <w:p>
      <w:pPr>
        <w:pStyle w:val="Normal"/>
        <w:ind w:start="1545" w:end="0"/>
        <w:jc w:val="both"/>
        <w:rPr/>
      </w:pPr>
      <w:r>
        <w:rPr>
          <w:rtl w:val="true"/>
        </w:rPr>
        <w:t> </w:t>
      </w:r>
    </w:p>
    <w:p>
      <w:pPr>
        <w:pStyle w:val="Normal"/>
        <w:ind w:start="144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  <w:t> </w:t>
      </w:r>
    </w:p>
    <w:p>
      <w:pPr>
        <w:pStyle w:val="Normal"/>
        <w:ind w:start="144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השני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hanging="615" w:start="216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12707/97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איהאב</w:t>
      </w:r>
      <w:r>
        <w:rPr>
          <w:b/>
          <w:bCs/>
          <w:u w:val="single"/>
          <w:rtl w:val="true"/>
        </w:rPr>
        <w:t>):</w:t>
      </w:r>
    </w:p>
    <w:p>
      <w:pPr>
        <w:pStyle w:val="Normal"/>
        <w:tabs>
          <w:tab w:val="clear" w:pos="720"/>
          <w:tab w:val="left" w:pos="2160" w:leader="none"/>
        </w:tabs>
        <w:ind w:hanging="615" w:start="2160"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/>
          <w:sz w:val="14"/>
          <w:szCs w:val="14"/>
          <w:rtl w:val="true"/>
        </w:rPr>
        <w:t xml:space="preserve">             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160" w:leader="none"/>
        </w:tabs>
        <w:ind w:hanging="615" w:start="2160"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/>
          <w:sz w:val="14"/>
          <w:szCs w:val="14"/>
          <w:rtl w:val="true"/>
        </w:rPr>
        <w:t xml:space="preserve">             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160" w:leader="none"/>
        </w:tabs>
        <w:ind w:hanging="615" w:start="2160"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/>
          <w:sz w:val="14"/>
          <w:szCs w:val="14"/>
          <w:rtl w:val="true"/>
        </w:rPr>
        <w:t xml:space="preserve">             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 xml:space="preserve">,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1.6.01</w:t>
      </w:r>
      <w:r>
        <w:rPr>
          <w:rtl w:val="true"/>
        </w:rPr>
        <w:t xml:space="preserve">, </w:t>
      </w:r>
      <w:r>
        <w:rPr/>
        <w:t>1.7.01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לתזכורת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21/05/01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08:30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הוסברה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לנאשמים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זכות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ערעור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מהיום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  <w:t> 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בניסן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בפומבי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18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באפריל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2001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  <w:t> 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מותר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לפרסום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18/04/2001</w:t>
      </w:r>
      <w:r>
        <w:rPr>
          <w:b/>
          <w:bCs/>
          <w:color w:val="000000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tbl>
      <w:tblPr>
        <w:tblW w:w="251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זיאד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הווארי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/>
        <w:t>000416/99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054</w:t>
      </w:r>
      <w:r>
        <w:rPr>
          <w:rtl w:val="true"/>
        </w:rPr>
        <w:t xml:space="preserve"> </w:t>
      </w:r>
      <w:r>
        <w:rPr>
          <w:rtl w:val="true"/>
        </w:rPr>
        <w:t>ערין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בראנסה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/Users/liorb/Downloads/study2025-p2/m99416.doc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416/99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בורהאן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עבדאללה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עבאס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8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0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Style8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Style8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2004-05-02T10:50:00Z</dcterms:created>
  <dc:creator> </dc:creator>
  <dc:description/>
  <dc:language>en-IL</dc:language>
  <cp:lastModifiedBy>nevo</cp:lastModifiedBy>
  <dcterms:modified xsi:type="dcterms:W3CDTF">2004-05-03T09:39:00Z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בורהאן בן עבדאללה עבאס;מופיד בן עדנאן עבאס;איהאב בן עדנאן עבאס</vt:lpwstr>
  </property>
  <property fmtid="{D5CDD505-2E9C-101B-9397-08002B2CF9AE}" pid="4" name="CITY">
    <vt:lpwstr>נצ'</vt:lpwstr>
  </property>
  <property fmtid="{D5CDD505-2E9C-101B-9397-08002B2CF9AE}" pid="5" name="DATE">
    <vt:lpwstr>20010418</vt:lpwstr>
  </property>
  <property fmtid="{D5CDD505-2E9C-101B-9397-08002B2CF9AE}" pid="6" name="ISABSTRACT">
    <vt:lpwstr>Y</vt:lpwstr>
  </property>
  <property fmtid="{D5CDD505-2E9C-101B-9397-08002B2CF9AE}" pid="7" name="JUDGE">
    <vt:lpwstr>זיאד הווארי</vt:lpwstr>
  </property>
  <property fmtid="{D5CDD505-2E9C-101B-9397-08002B2CF9AE}" pid="8" name="LAWYER">
    <vt:lpwstr>גלעד;זערורה;אחמד מסאלחה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416</vt:lpwstr>
  </property>
  <property fmtid="{D5CDD505-2E9C-101B-9397-08002B2CF9AE}" pid="29" name="PROCYEAR">
    <vt:lpwstr>99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5</vt:lpwstr>
  </property>
</Properties>
</file>