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47"/>
        <w:gridCol w:w="1417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  <w:szCs w:val="28"/>
              </w:rPr>
            </w:pPr>
            <w:r>
              <w:rPr>
                <w:b/>
                <w:bCs/>
                <w:spacing w:val="110"/>
                <w:sz w:val="24"/>
                <w:szCs w:val="28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515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בנצרת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80/09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+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000091/09</w:t>
            </w:r>
          </w:p>
        </w:tc>
      </w:tr>
      <w:tr>
        <w:trPr>
          <w:trHeight w:val="195" w:hRule="atLeast"/>
        </w:trPr>
        <w:tc>
          <w:tcPr>
            <w:tcW w:w="515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כתילי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27/10/2009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spacing w:lineRule="auto" w:line="240"/>
        <w:ind w:end="0"/>
        <w:jc w:val="star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  <w:rtl w:val="true"/>
        </w:rPr>
      </w:r>
    </w:p>
    <w:p>
      <w:pPr>
        <w:pStyle w:val="Normal"/>
        <w:suppressLineNumbers/>
        <w:spacing w:lineRule="auto" w:line="240"/>
        <w:ind w:end="0"/>
        <w:jc w:val="center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end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 w:val="20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 w:val="20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 w:val="20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 w:val="false"/>
                <w:bCs w:val="false"/>
                <w:szCs w:val="20"/>
              </w:rPr>
            </w:pPr>
            <w:r>
              <w:rPr>
                <w:rFonts w:cs="Times New Roman"/>
                <w:b w:val="false"/>
                <w:bCs w:val="false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ניסן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צוברי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גלעד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דן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ועו</w:t>
            </w:r>
            <w:r>
              <w:rPr>
                <w:b w:val="false"/>
                <w:bCs w:val="false"/>
                <w:sz w:val="20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יוסף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>חאזם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2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end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Cs w:val="false"/>
                <w:szCs w:val="22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b w:val="false"/>
                <w:bCs w:val="false"/>
                <w:szCs w:val="20"/>
              </w:rPr>
            </w:pPr>
            <w:r>
              <w:rPr>
                <w:rFonts w:cs="Times New Roman"/>
                <w:b w:val="false"/>
                <w:bCs w:val="false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ולטר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tl w:val="true"/>
              </w:rPr>
              <w:t>]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חאזם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</w:tr>
    </w:tbl>
    <w:p>
      <w:pPr>
        <w:pStyle w:val="Normal"/>
        <w:suppressLineNumbers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Heading2"/>
        <w:spacing w:lineRule="auto" w:line="24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סוג_מסמך"/>
      <w:bookmarkStart w:id="5" w:name="סוג_מסמך"/>
      <w:bookmarkEnd w:id="5"/>
    </w:p>
    <w:p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Cs w:val="24"/>
          <w:u w:val="none"/>
        </w:rPr>
        <w:t>04-01-2010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Cs w:val="24"/>
          </w:rPr>
          <w:t>10387/09</w:t>
        </w:r>
      </w:hyperlink>
      <w:r>
        <w:rPr>
          <w:rFonts w:cs="FrankRuehl" w:ascii="FrankRuehl" w:hAnsi="FrankRuehl"/>
          <w:b w:val="false"/>
          <w:bCs w:val="false"/>
          <w:color w:val="000000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Cs w:val="24"/>
          <w:u w:val="none"/>
          <w:rtl w:val="true"/>
        </w:rPr>
        <w:t>ליאור צוברי נ</w:t>
      </w:r>
      <w:r>
        <w:rPr>
          <w:rFonts w:cs="FrankRuehl" w:ascii="FrankRuehl" w:hAnsi="FrankRuehl"/>
          <w:b w:val="false"/>
          <w:bCs w:val="false"/>
          <w:color w:val="000000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גאולה לוין</w:t>
      </w:r>
    </w:p>
    <w:p>
      <w:pPr>
        <w:pStyle w:val="Heading2"/>
        <w:spacing w:lineRule="auto" w:line="240"/>
        <w:ind w:end="0"/>
        <w:jc w:val="start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  <w:bookmarkStart w:id="6" w:name="LawTable"/>
      <w:bookmarkStart w:id="7" w:name="LawTable"/>
      <w:bookmarkEnd w:id="7"/>
    </w:p>
    <w:p>
      <w:pPr>
        <w:pStyle w:val="Heading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244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381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408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441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לפרק יא</w:t>
        </w:r>
      </w:hyperlink>
    </w:p>
    <w:p>
      <w:pPr>
        <w:pStyle w:val="Heading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hyperlink r:id="rId1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1961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לא מרובדות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43</w:t>
        </w:r>
      </w:hyperlink>
    </w:p>
    <w:p>
      <w:pPr>
        <w:pStyle w:val="Heading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spacing w:lineRule="auto" w:line="240"/>
        <w:ind w:end="0"/>
        <w:jc w:val="start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Heading2"/>
        <w:spacing w:lineRule="auto" w:line="24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Heading2"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4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4"/>
          <w:sz w:val="24"/>
          <w:szCs w:val="28"/>
          <w:u w:val="single"/>
          <w:rtl w:val="true"/>
        </w:rPr>
        <w:t>גזר דין</w:t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>
        <w:rPr>
          <w:rFonts w:cs="Arial" w:ascii="Arial" w:hAnsi="Arial"/>
          <w:b/>
          <w:bCs/>
          <w:sz w:val="24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 הנאשמים בשני התיקים המאוחדים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ייקראו להלן בשמותיהם </w:t>
      </w:r>
      <w:r>
        <w:rPr>
          <w:rFonts w:ascii="Arial" w:hAnsi="Arial" w:cs="Arial"/>
          <w:b/>
          <w:b/>
          <w:bCs/>
          <w:rtl w:val="true"/>
        </w:rPr>
        <w:t xml:space="preserve">ניסן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הנאשם 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</w:rPr>
        <w:t>80/09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ליאור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הנאשם ב</w:t>
      </w:r>
      <w:hyperlink r:id="rId1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91/09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bookmarkStart w:id="13" w:name="ABSTRACT_START"/>
      <w:bookmarkEnd w:id="13"/>
      <w:r>
        <w:rPr>
          <w:rFonts w:ascii="Arial" w:hAnsi="Arial" w:cs="Arial"/>
          <w:rtl w:val="true"/>
        </w:rPr>
        <w:t>ניסן וליאור הורשעו בעבירות של התפרצות למקום מגורים בנסיבות מחמירות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21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408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22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תקיפה כדי לבצע פשע בנסיבות מחמירות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25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26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28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30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32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ועבירה של הסתייעות ברכב לביצוע פשע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לפקודת </w:t>
      </w:r>
      <w:hyperlink r:id="rId35">
        <w:r>
          <w:rPr>
            <w:rStyle w:val="Hyperlink"/>
            <w:rFonts w:ascii="Arial" w:hAnsi="Arial" w:cs="Arial"/>
            <w:rtl w:val="true"/>
          </w:rPr>
          <w:t>תקנות התעבורה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הרשעת הנאשמים בעבירות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על יסוד הודאתם בעובדות כתבי האישום המתוקנים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ולהלן אעמוד על נסיבות ביצוע העבירות כמפורט בעובדות בכתבי האישום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  <w:b/>
          <w:bCs/>
        </w:rPr>
        <w:t>4.2.09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אחר נוסף שפרטיו אינם ידועים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קשרו קשר להתפרץ לבית מיכאל רוד בפוריה עילית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במטרה לגנוב מתוכו רכוש וכסף תוך שימוש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הצטיידו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בסכין ובחגורת 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הגיעו אל הבית כשהם רכובים על אופנוע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אחר הגיע כשהוא רכוב על אופנוע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אותה עת שהתה בבית המנקה אירינה סליברסטוב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הנאשמים ארבו לה מחוץ לדלת הכניסה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שהנוסף נשאר על גבי האופנוע מחוץ לבית במטרה לאבטח ולהתריע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המתלוננת פתחה את דלת הכניסה לבית כדי לשפוך את המים בהם שטפה את הרצפה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 אותה ניסן מי נמצא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המתלוננת ניסתה לברוח בחזרה לבית ולנעול את דלת הכניסה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הנאשמים מנעו זאת ממנה והצליחו להיכנס בכוח לתוך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בתוך כך ניסן כרך את ידו סביב צווארה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חונק אותה ודחף אותה לתוך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כפתו הנאשמים את ידיה בחגורת 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ניסן הצמיד את האקדח לראשה של המתלוננת ואת הסכין לגבה ודרש ממנה שתראה להם איפה הכסף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הנאשמים הגיפו את כל התריסים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וגררו את המתלוננת באמצעות החגורה בה כפתו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חדרי הבית בניסיון למצוא כסף תוך שהם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הופכים את הבית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בחיפוש אחר רכוש לגנבו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אותה עת צעק ניסן על המתלוננת שתשתוק וציין בפניה שאם לא ימצאו כסף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יהרגוה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שהבחינו הנאשמים ברכב מחוץ לבית ובעוברי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עזבו את הבית תוך שהם מותירים את המתלוננת כפותה בידיה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גנבו מהבית ציוד צילום ומחשבים יקרי 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סכין קומנדו וכן שעונים ותכשיטים יקרי 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בשווי של אלפי דולרים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כפרו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ונשמעו ראיות בתיק לרבות עדותה של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הודיעו הצדדים כי הגיעו לידי הסדר טיעון לפיו הנאשמים חזרו מכפירתם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הוגשו כתבי אישום מתוקנים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הנאשמים הודו בעובדות כתבי האישום המאוחדים המתוקנים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והורשעו על סמך הודאתם בעבירות אשר יוחסו להם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הסדר הטיעון המאשימה ביקשה לעתור לעונש ראוי והולם בהתאם לעברו וחלקו של 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פיצויים לטובת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הטיעונים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יהיו פתוחים והפיצוי שייפסק יהיה נתון לשיקול דעתו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ביקשו להטיל עונש מינימאלי לאחר קבלת 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ובטרם נשמעו טיעוני הצדדים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הופנו הנאשמים לקבלת תסקירי שירות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הוגש תסקיר בעניינם של 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התסקירים לשירות המבחן לא היתה כל המלצה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המלצות שירות המבחן ונימוקיו מפורטים בתסקירים שהוגשו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 הצדדים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כתבי האישום המתוקנים הינם חמורים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המלמדים על מסוכנותם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בשילוב מסוכן של עבירות רכוש לבין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אחוז הפענוח בעבירות הרכוש הינו נמוך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והגיש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הסטטיסטי של משטרת ישראל בעניין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המדובר בעבירות קלות לביצוע וקשות ללכידה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בעיקר נובע הצורך כי בתי המשפט יחמירו החמרה יתרה בעניינם של עברייני הרכוש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ובעניינם של אלה הפורצים לבתי מגורים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 את חומרת התופעה של התפרצות לבתי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והפנה למגמה המחמירה בפסיקת בתי המשפט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שפנה לפסיקה רלוונטית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גם הפנה לעברם הפלילי של הנאשמים והמציא גיליונות הרשעותיהם הקודמות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המשפט לנוער בגין עבירות רכוש לרבות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הוטל עליו 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חזר על מעשיו במקרה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בעניינו של 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משנת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נדון לתקופה מאסר מצטברת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השתחרר ממאסרו האחרון ביום </w:t>
      </w:r>
      <w:r>
        <w:rPr>
          <w:rFonts w:cs="Arial" w:ascii="Arial" w:hAnsi="Arial"/>
        </w:rPr>
        <w:t>25.1.09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טען כי יש להפעיל מאסר על תנאי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 ניסן במסגרת </w:t>
      </w:r>
      <w:r>
        <w:rPr>
          <w:rFonts w:ascii="Arial" w:hAnsi="Arial" w:cs="Arial"/>
          <w:color w:val="000000"/>
          <w:rtl w:val="true"/>
        </w:rPr>
        <w:t xml:space="preserve">תיק פלילי </w:t>
      </w:r>
      <w:r>
        <w:rPr>
          <w:rFonts w:cs="Arial" w:ascii="Arial" w:hAnsi="Arial"/>
          <w:color w:val="000000"/>
        </w:rPr>
        <w:t>943/07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המשפט השלום באשקלון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להטיל על הנאשמים מאסר בפועל לתקופה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לפי חלקו בהתאם לעובדות כתבי האישום ובהתאם לעברו הפלילי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להטיל על הנאשמים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לבעל הבית שרוב רכושו לא הוחזר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עונשו של ניסן צריך להיות חמור מעונשו של ליאור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לגיליון ההרשעות הקודמות של ניסן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בזמן מעצרו הנוכחי הוא נדון למאסר בן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בגין תיק אחר בבית משפט השלום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לא לנכות תקופה זו של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מימי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ניסן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מוצו כל האפשרויות לשיקומו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יש לעזור לנאשם זה לנוכח הרקע שלו לרבות התמכרותו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והשאיר לשיקול דעת בית המשפט הפנייתו של הנאשם פעם נוספת לשירות המבחן על מנת לבדוק את הצורך בטיפול גמילה בסמים באופן אינטנסיבי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ניסן לקח אחריות על מעשיו והביע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בעובדות כתב האישום המתוקן ובכך 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גדל בנסיות חיים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וככל שבית המשפט יחליט על אי הפנייתו שוב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להקל בעונשו ולא למצות עימו את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להימנע מהטלת פיצויים לבעל הבית וזאת נוכח מצבו הכלכלי הקשה של הנאשם ושל בני משפחתו באופן שלא ניתן יהיה לגייס כל סכום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הסניגור כי המכשיר שערכו חשוב מבחינת בעל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והוחזר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ביקש להקל בעונשו של הנאשם ולא להטיל עליו פיצויים ולא קנס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ליאור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ליאור הורשע במעשים של מה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יש לאבחן בין 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להגעתו לאזור טבריה לא ידע שהוא הולך לבצע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חשב שהוא בא לקנות אופנוע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כי מי שהחזיק בפועל בנשק בזמן האירוע היה 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שעולה מעדות המתלוננת הרי ניסן הוא זה שהצמיד את האקדח לראשה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שהוציא את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גרר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זה שנתן הוראות לליאור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שחלקו של ליאור היה פסיבי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נגרר לסיטואציה שלא רצה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הסניגור הוסיף וטען כי ליאור הסתבך בעבירות בהיותו בגיל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מאז ועד היום לא התערב בכל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הסניגור לנסיבות חייו הקשות של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ולעובדה כי מעולם לא ריצה עונש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ביקש להקל בעונשו ולא למצות עימו את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הביעו בפני צער על מעשיהם והביעו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 ושיקולי ענישה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המעשים המיוחסים לנאשמים בכתבי האישום המתוקנים הינם מעשים חמורים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ההתפרצות לבית בו שהתה המתלוננת בזמן האירוע גרם לנזקים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לבעל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לשלום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רק לתאר את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הטראומה הנפשית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הסבל ועוגמת הנפש שנגרמו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שמצאה את עצמה כקורבן למעשי אלימות ומעשים חמורים מצידם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ומעבר לנזק הישיר שנגרם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קורבן העבירות הקונקרטי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גם להתחשב בנזק שנגרם לציבור ולתחושת 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המדבור בעבירות נפוצות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בית המשפט לעשות הכל על מנת למגר תופעות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ראה לעניין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מלצר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36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7453/08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אורן אואזנה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31.12.08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1466" w:start="1466" w:end="72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לגישתי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כינוי עבירות של פריצה וגניבה מבתים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רק כ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עבירות נגד הרכוש</w:t>
      </w:r>
      <w:r>
        <w:rPr>
          <w:rFonts w:cs="Arial" w:ascii="Arial" w:hAnsi="Arial"/>
          <w:b/>
          <w:bCs/>
          <w:rtl w:val="true"/>
        </w:rPr>
        <w:t>' (</w:t>
      </w:r>
      <w:r>
        <w:rPr>
          <w:rFonts w:ascii="Arial" w:hAnsi="Arial" w:cs="Arial"/>
          <w:b/>
          <w:b/>
          <w:bCs/>
          <w:rtl w:val="true"/>
        </w:rPr>
        <w:t>כפי שמקובל לקרוא לעבירות מסוג זה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הינה הגדרה מוטעית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 מאחר שפריצה לביתו של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טומנת בחובה לעיתים קרובות לא רק נזק כלכלי רב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גם צער ועגמת הנפש הנגרמים לקורבנות של עבירות אלה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הנה כי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מדובר בעבירות נגד רכוש גרידא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בעבירות המפרות את פרטיותו של האדם בצורה הגבוהה ביותר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 ועוד הגדרת עבירות אלו כ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עבירות רכוש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נותנת תחושה מצמצמת וקונוטציה שגויה – לסובבים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באשר למהות העבירות שהתבצעו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הפוגעות במהות המתמצית באמירה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ביתו של אדם – מבצרו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ברגע שביתו של אדם נפרץ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תחושת חוסר אונים וחוסר ביטחון ממלאת את ליבו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הנה כי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הפריצה אינה רק לבית – מבחינה פיזית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בעיקרה חדירה לתוך התא האישי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משפחתי השמור ביותר של האדם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בחרו להם טרף 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עובדת ניקיון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שמצאה עצמה קורבן למעשים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כל ספק כי יש להתייחס לעבריינים אלה ביד קשה ולהטיל עליהם עונשים קשים וכבדים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שיהיה בהם גם כדי להרתיע בעתיד מפני ביצוע עבירות מעין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להביא להרתעת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התחשבתי גם בנסיבותיו הספציפיות של האירוע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כל מקום להתעלם מאופי ביצוע העבירות והקלות הבלתי נסבלת בה בוצעו העבירות על ידי הנאשמים במשותף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מחייבים נקיטת ענישה כבדה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לעקור מעשים אלה שהציבור נחשף 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בתדירות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בשורה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לנקוט בגישה מחמירה ולהחמיר בעונשם של עבריינים הפורצים לבתיהם של אנשים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וראה לעניין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רובינשטיין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37">
        <w:r>
          <w:rPr>
            <w:rStyle w:val="Hyperlink"/>
            <w:rFonts w:ascii="Arial" w:hAnsi="Arial" w:cs="Arial"/>
            <w:b/>
            <w:b/>
            <w:bCs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1708/08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מרדכי לוי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21.2.08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1466" w:end="72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בידי לקבל את הטענה המרכזית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העונש שהטיל בית המשפט המחוזי על המבקש סוטה ממדיניות הענישה הראויה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בית המשפט המחוזי צדק גם צדק משהטעים את הצורך בחומרה בענישה בעבירת התפרצות ובעבירות הרכוש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שהיו –אפשר לומר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למכת מדינה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למקור דאגה וטרוניה לאזרחים רבים ולפגיעה בתחושת ביטחונם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נקל לשער את החוויה הקשה העוברת על קורבנות הפריצה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בשובם לביתם והנה הפיכת סדום ועמורה בתוכו וחפצים וכסף  נעלמו ואינם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ולעיתים קרובות משמעות הדבר היא כי הרכוש יירד לטמיון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 העבריין לא יילכד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כך גם באשר למי שהשכים לעבודתו והנה רכבו שהחנה לעתותי ערב איננו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נגנב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אמנם במקרה דנא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נלכד המבקש בכף ועמו הרכוש מאותה פריצה בה נעצר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השיב חלק מרכוש אחר בהתערבות בית משפט השלום – אך אין בכך כדי לפצות על הטראומה שגרם</w:t>
      </w:r>
      <w:r>
        <w:rPr>
          <w:rFonts w:cs="Arial" w:ascii="Arial" w:hAnsi="Arial"/>
          <w:b/>
          <w:bCs/>
          <w:rtl w:val="true"/>
        </w:rPr>
        <w:t>...".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בצד השיקולים לחומרה גם התחשבתי בנתונים המפורטים בתסקירי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בתסקיר שירות המבחן בעניינו של ניסן צוין כי ניסן לא לקח אחריות בגין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הפנים דפוסי חיים אלימים ועבריינים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התמכר לסמים וכי העונשים שהוטלו עליו בעבר לרבות תקופות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הצליחו להרתיעו ולמנוע ממנו להמשיך בהתנהגותו העבריינית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לשני הנאשמים עבר פלילי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כשעברו של ניסן מכביד במיוחד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לניסן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המחוזי 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40006/00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במספר תיקים פליליים שצורפו לרבות מבתי 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רבות ודומות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הפרעת 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בריחה ממשמר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וגניבה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לבנין שאינו דירה וביצוע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בתנאים מחמירים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בריחה ממעצר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סתם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העבירות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הושת על 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גזר הדין מיום </w:t>
      </w:r>
      <w:r>
        <w:rPr>
          <w:rFonts w:cs="Arial" w:ascii="Arial" w:hAnsi="Arial"/>
        </w:rPr>
        <w:t>7.6.00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11.11.01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הושת על ניסן בבית המשפט המחוזי 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40012/01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הפעלת 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בגין עבירות של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שוד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בתנאים מחמירים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7.4.03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הוטל על הנאשם בבית המשפט לנוער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1537/01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של תקיפה בתנאים מחמירים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16.5.05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בבית המשפט המחוזי 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40197/04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והפעלת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מאסר לתקופה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שונות לרבות 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לתקיפה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על רקע של מעצר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ותקיפה כדי לגנוב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20.11.07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 על הנאשם בבית המשפט השלום באשקלון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943/07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שלא יעבור על עבירות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יא</w:t>
        </w:r>
      </w:hyperlink>
      <w:r>
        <w:rPr>
          <w:rFonts w:ascii="Arial" w:hAnsi="Arial" w:cs="Arial"/>
          <w:rtl w:val="true"/>
        </w:rPr>
        <w:t xml:space="preserve"> ל</w:t>
      </w:r>
      <w:hyperlink r:id="rId3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למעט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או עבירות לפי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hyperlink r:id="rId41"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הפעלת מאסר על תנאי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מאסר לתקופה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עבירות של 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התחזות כאדם אחר במטרה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3.6.09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הוטלה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השלום 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7832/07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התחייבות להימנע מעבירה בסך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שלא יעבור על העבירות בהן הורשע 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של החזקת אגרופים או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ממש ואיומים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מעיון בגיליון הרשעותיו הקודמות עולה כי ביום </w:t>
      </w:r>
      <w:r>
        <w:rPr>
          <w:rFonts w:cs="Arial" w:ascii="Arial" w:hAnsi="Arial"/>
        </w:rPr>
        <w:t>13.6.06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הוטלה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לנוער 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1269/05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התחייבות להימנע מעבירה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שנה פיקוח קצין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לתועלת הציבור למשך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בגין עבירות של פריצה לרכב בכוונה לגנוב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דרישה באיומים של רכוש וגניבה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ברור שעברו הפלילי של ניסן הינו עשיר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ומעיד על נטייתו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זה החל בדרכו העבריינית בגיל צעיר ונראה כי הוא מעולם לא נטש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עונשים שהוטלו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עונשי מאסר לתקופות ממושכות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הועילו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וניסן חזר לסורו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עברו הפלילי מחמיר ומקבל משנה תוקף לאור העובדה כי הוא השתחרר ממאסרו האחרון ביום </w:t>
      </w:r>
      <w:r>
        <w:rPr>
          <w:rFonts w:cs="Arial" w:ascii="Arial" w:hAnsi="Arial"/>
        </w:rPr>
        <w:t>25.1.09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ימים ספורים לפני ביצוע המעשים המיוחסים לו באירוע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שעברו הפלילי אינו כה כבד כעברו של 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ליאור לא למד לקח ממעשיו הקודמים והוא חזר על מעשיו גם במקרה הנדון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עברם של הנאשמים כמו גם הנסיבות החמורות של ביצוע העבירות במקרה דנן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מעל לכל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הנאשמים לא זנחו את התנהגותם העבריינית וזאת חרף העונשים שהוטלו עליהם בעבר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ההזדמנויות הקודמות שניתנו להם על ידי הערכאות השיפוטיות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חזרו לפעולתם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ללמוד כל לקח מהעבר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שמצדיק הטלת עונשים כבדים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לחלקו של כל אחד מהנאשמים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לעברו הפלילי של כל נאשם ונאשם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ובבואי לגזור את דינם של הנאשמים התחשבתי בנתונים לקולא לרבות גילם הצעיר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חייהם הקשות כמתואר גם בתסקירי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והודאתם בעבירות המיוחסות להם בכתבי האישום המתוקנים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שאכן התחשבתי בנסיבותיהם האישיות הקשות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באלה כדי לתרץ ולהצדיק את מעשיהם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התמכרותו של ניסן לסמים 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שיקול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לניסן ניתנו הזדמנויות רבות אך בחר לנטוש אותן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ליאור טענו כי יש לגזור עונש מופחת על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וחלקו בעבירות היה פחות חמור מזה של ניסן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מהמתואר בכתבי האישום המתוקנים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בבירור כי חלקו של ליאור בעבירות היה פחות חמור בהשוואה לחלקו של ניסן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הרי ניסן הוא זה שכרך את ידו סביב צווארה של המתלוננת תוך שהוא חונק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שהצמיד את האקדח לראשה ואת הסכין לגבה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וגרר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אין להתעלם מחלקו של ליאור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שחלקו היה פחות חמור בהשוואה לניסן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שליאור היה פעיל בביצוע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ליאור הצליח להיכנס בכוח לתוך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וביחד עם ניסן כפת את ידיה של המתלוננת בחגורת 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הגיף את התריסים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גרר ביחד עם ניסן את המתלוננת באמצעות החגורה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והשתתף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ניסן בעבירות שונות נוספות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מכלול הנתונים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והעמדתי את עניינם של שני הנאשמים ובין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של ניסן יותר דומיננטי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העשיר ביותר אל מול עברו של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שנוצר הצורך להבחין בין שני הנאשמים בעונשם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של ניסן אמור להיות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המאזן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במידה מה מעונשו של ליאור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לפיכך החלטתי לגזור על כל אחד מהנאשמים את העונשים הבאים</w:t>
      </w:r>
      <w:r>
        <w:rPr>
          <w:rFonts w:cs="Arial" w:ascii="Arial" w:hAnsi="Arial"/>
          <w:u w:val="single"/>
          <w:rtl w:val="true"/>
        </w:rPr>
        <w:t xml:space="preserve">: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לניסן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810" w:start="153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גוזר על ניסן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על כל עבירת אלימות ורכוש מכל סוג שהוא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בחישוב תקופת מעצרו לא יובאו בחשבון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 המאסר בהם היה הנאשם נתון  במסגרת תיק </w:t>
      </w:r>
      <w:r>
        <w:rPr>
          <w:rFonts w:cs="Arial" w:ascii="Arial" w:hAnsi="Arial"/>
        </w:rPr>
        <w:t>7832/07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שלום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תאריך גזר הדין </w:t>
      </w:r>
      <w:r>
        <w:rPr>
          <w:rFonts w:cs="Arial" w:ascii="Arial" w:hAnsi="Arial"/>
        </w:rPr>
        <w:t>3.6.09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ind w:hanging="810" w:start="153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מורה על הפעלת עונש המאסר על תנאי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 הנאשם במסגרת </w:t>
      </w:r>
      <w:r>
        <w:rPr>
          <w:rFonts w:ascii="Arial" w:hAnsi="Arial" w:cs="Arial"/>
          <w:color w:val="000000"/>
          <w:rtl w:val="true"/>
        </w:rPr>
        <w:t xml:space="preserve">תיק פלילי </w:t>
      </w:r>
      <w:r>
        <w:rPr>
          <w:rFonts w:cs="Arial" w:ascii="Arial" w:hAnsi="Arial"/>
          <w:color w:val="000000"/>
        </w:rPr>
        <w:t>943/07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שלום אשקלון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בנוסף על העונשים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נשיאת מאסר מותנה זה תיעשה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שהנאשם ניסן ישא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ind w:hanging="810" w:start="153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הנאשם לפצות את המתלוננת אירינה סליברסטוב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ואת מיכאל רוד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סכום זה יופקד בקופת בית המשפט בתוך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לא כן ישא הפרשי הצמדה וריבית כקבוע בחוק מיום הגשת כתב האישום ועד התשלום המלא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11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 לתשלום קנס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אני ממליץ בפני רשויות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לשלב את הנאשם בתכנית גמילה שיקומית מתאימה לנתוניו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בתקופת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לליאור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גוזר על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על כל עבירת אלימות ורכוש מכל סוג שהוא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אני מחייב את הנאשם לפצות את המתלוננת אירינה סליברסטוב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ואת מיכאל רוד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סכום זה יופקד בקופת בית המשפט בתוך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לא כן ישא הפרשי הצמדה וריבית כקבוע בחוק מיום הגשת כתב האישום ועד התשלום המלא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 לתשלום קנס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rFonts w:cs="David" w:ascii="David" w:hAnsi="David"/>
          <w:color w:val="000000"/>
          <w:sz w:val="22"/>
          <w:szCs w:val="22"/>
        </w:rPr>
        <w:t>54678313-9/80</w:t>
      </w:r>
    </w:p>
    <w:p>
      <w:pPr>
        <w:pStyle w:val="Normal"/>
        <w:ind w:end="0"/>
        <w:jc w:val="both"/>
        <w:rPr>
          <w:b/>
          <w:bCs/>
          <w:color w:val="000000"/>
          <w:sz w:val="24"/>
        </w:rPr>
      </w:pPr>
      <w:r>
        <w:rPr>
          <w:b/>
          <w:b/>
          <w:bCs/>
          <w:color w:val="000000"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ט</w:t>
      </w:r>
      <w:r>
        <w:rPr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בחשון</w:t>
      </w:r>
      <w:r>
        <w:rPr>
          <w:b/>
          <w:bCs/>
          <w:color w:val="000000"/>
          <w:sz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rtl w:val="true"/>
        </w:rPr>
        <w:t>תש</w:t>
      </w:r>
      <w:r>
        <w:rPr>
          <w:b/>
          <w:bCs/>
          <w:color w:val="000000"/>
          <w:sz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rtl w:val="true"/>
        </w:rPr>
        <w:t>ע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  <w:rtl w:val="true"/>
        </w:rPr>
        <w:t>(</w:t>
      </w:r>
      <w:r>
        <w:rPr>
          <w:b/>
          <w:bCs/>
          <w:color w:val="000000"/>
          <w:sz w:val="24"/>
        </w:rPr>
        <w:t>27</w:t>
      </w:r>
      <w:r>
        <w:rPr>
          <w:b/>
          <w:bCs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</w:rPr>
        <w:t>2009</w:t>
      </w:r>
      <w:r>
        <w:rPr>
          <w:b/>
          <w:bCs/>
          <w:color w:val="000000"/>
          <w:sz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הצדדים</w:t>
      </w:r>
      <w:r>
        <w:rPr>
          <w:b/>
          <w:bCs/>
          <w:color w:val="000000"/>
          <w:sz w:val="24"/>
          <w:rtl w:val="true"/>
        </w:rPr>
        <w:t xml:space="preserve">. </w:t>
      </w:r>
    </w:p>
    <w:tbl>
      <w:tblPr>
        <w:tblW w:w="2977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</w:tblGrid>
      <w:tr>
        <w:trPr/>
        <w:tc>
          <w:tcPr>
            <w:tcW w:w="2977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/>
              <w:ind w:end="0"/>
              <w:jc w:val="center"/>
              <w:rPr>
                <w:bCs/>
                <w:u w:val="none"/>
              </w:rPr>
            </w:pPr>
            <w:r>
              <w:rPr>
                <w:bCs/>
                <w:u w:val="none"/>
                <w:rtl w:val="true"/>
              </w:rPr>
              <w:t>תאופיק כתילי</w:t>
            </w:r>
            <w:r>
              <w:rPr>
                <w:bCs/>
                <w:u w:val="none"/>
                <w:rtl w:val="true"/>
              </w:rPr>
              <w:t xml:space="preserve">, </w:t>
            </w:r>
            <w:r>
              <w:rPr>
                <w:bCs/>
                <w:u w:val="none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2"/>
      <w:footerReference w:type="default" r:id="rId4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/Users/liorb/Downloads/study2025-p2/m09000091-255.doc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9/80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צפון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 ניסן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530"/>
        </w:tabs>
        <w:ind w:start="1530" w:hanging="81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LineNumbers/>
      <w:snapToGrid w:val="false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ind w:hanging="0" w:start="0" w:end="0"/>
      <w:jc w:val="center"/>
      <w:outlineLvl w:val="9"/>
    </w:pPr>
    <w:rPr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783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81.a.1" TargetMode="External"/><Relationship Id="rId10" Type="http://schemas.openxmlformats.org/officeDocument/2006/relationships/hyperlink" Target="http://www.nevo.co.il/law/70301/382.a" TargetMode="External"/><Relationship Id="rId11" Type="http://schemas.openxmlformats.org/officeDocument/2006/relationships/hyperlink" Target="http://www.nevo.co.il/law/70301/382.a.1" TargetMode="External"/><Relationship Id="rId12" Type="http://schemas.openxmlformats.org/officeDocument/2006/relationships/hyperlink" Target="http://www.nevo.co.il/law/70301/406.a" TargetMode="External"/><Relationship Id="rId13" Type="http://schemas.openxmlformats.org/officeDocument/2006/relationships/hyperlink" Target="http://www.nevo.co.il/law/70301/408" TargetMode="External"/><Relationship Id="rId14" Type="http://schemas.openxmlformats.org/officeDocument/2006/relationships/hyperlink" Target="http://www.nevo.co.il/law/70301/44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jaC" TargetMode="External"/><Relationship Id="rId17" Type="http://schemas.openxmlformats.org/officeDocument/2006/relationships/hyperlink" Target="http://www.nevo.co.il/law/74274" TargetMode="External"/><Relationship Id="rId18" Type="http://schemas.openxmlformats.org/officeDocument/2006/relationships/hyperlink" Target="http://www.nevo.co.il/law/74274/43" TargetMode="External"/><Relationship Id="rId19" Type="http://schemas.openxmlformats.org/officeDocument/2006/relationships/hyperlink" Target="http://www.nevo.co.il/case/2457816" TargetMode="External"/><Relationship Id="rId20" Type="http://schemas.openxmlformats.org/officeDocument/2006/relationships/hyperlink" Target="http://www.nevo.co.il/law/70301/406.a" TargetMode="External"/><Relationship Id="rId21" Type="http://schemas.openxmlformats.org/officeDocument/2006/relationships/hyperlink" Target="http://www.nevo.co.il/law/70301/408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1.a.1" TargetMode="External"/><Relationship Id="rId25" Type="http://schemas.openxmlformats.org/officeDocument/2006/relationships/hyperlink" Target="http://www.nevo.co.il/law/70301/382.a.1" TargetMode="External"/><Relationship Id="rId26" Type="http://schemas.openxmlformats.org/officeDocument/2006/relationships/hyperlink" Target="http://www.nevo.co.il/law/70301/382.a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144.a.b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186.a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4274/43" TargetMode="External"/><Relationship Id="rId35" Type="http://schemas.openxmlformats.org/officeDocument/2006/relationships/hyperlink" Target="http://www.nevo.co.il/law/74274" TargetMode="External"/><Relationship Id="rId36" Type="http://schemas.openxmlformats.org/officeDocument/2006/relationships/hyperlink" Target="http://www.nevo.co.il/case/5701236" TargetMode="External"/><Relationship Id="rId37" Type="http://schemas.openxmlformats.org/officeDocument/2006/relationships/hyperlink" Target="http://www.nevo.co.il/case/5786637" TargetMode="External"/><Relationship Id="rId38" Type="http://schemas.openxmlformats.org/officeDocument/2006/relationships/hyperlink" Target="http://www.nevo.co.il/law/70301/ja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41" TargetMode="External"/><Relationship Id="rId41" Type="http://schemas.openxmlformats.org/officeDocument/2006/relationships/hyperlink" Target="http://www.nevo.co.il/law/70301/244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 </dc:creator>
  <dc:description/>
  <cp:keywords/>
  <dc:language>en-IL</dc:language>
  <cp:lastModifiedBy>run</cp:lastModifiedBy>
  <cp:lastPrinted>2009-10-27T09:39:00Z</cp:lastPrinted>
  <dcterms:modified xsi:type="dcterms:W3CDTF">2016-08-10T15:07:00Z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צפון</vt:lpwstr>
  </property>
  <property fmtid="{D5CDD505-2E9C-101B-9397-08002B2CF9AE}" pid="3" name="APPELLEE">
    <vt:lpwstr>עמר ניסן;צוברי ליאור</vt:lpwstr>
  </property>
  <property fmtid="{D5CDD505-2E9C-101B-9397-08002B2CF9AE}" pid="4" name="CASESLISTTMP1">
    <vt:lpwstr>5678328;2457816;5701236;5786637</vt:lpwstr>
  </property>
  <property fmtid="{D5CDD505-2E9C-101B-9397-08002B2CF9AE}" pid="5" name="CITY">
    <vt:lpwstr>נצ'</vt:lpwstr>
  </property>
  <property fmtid="{D5CDD505-2E9C-101B-9397-08002B2CF9AE}" pid="6" name="DATE">
    <vt:lpwstr>20091027</vt:lpwstr>
  </property>
  <property fmtid="{D5CDD505-2E9C-101B-9397-08002B2CF9AE}" pid="7" name="DELEMATA">
    <vt:lpwstr>http://elyon2.court.gov.il/scripts9/mgrqispi93.dll?Appname=eScourt&amp;Prgname=GetFileDetails&amp;Arguments=-N2009-010387-0</vt:lpwstr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70301/406.a;408;029:4;381.a.1;382.a.1;382.a;192;144.a.b;186.a;499.a.1;jaC;441;244</vt:lpwstr>
  </property>
  <property fmtid="{D5CDD505-2E9C-101B-9397-08002B2CF9AE}" pid="11" name="LAWLISTTMP2">
    <vt:lpwstr>74274/043</vt:lpwstr>
  </property>
  <property fmtid="{D5CDD505-2E9C-101B-9397-08002B2CF9AE}" pid="12" name="LAWYER">
    <vt:lpwstr>גלעד דן;יוסף חאזם;רז ולטר;חאזם יוסף</vt:lpwstr>
  </property>
  <property fmtid="{D5CDD505-2E9C-101B-9397-08002B2CF9AE}" pid="13" name="LINKK1">
    <vt:lpwstr>http://www.nevo.co.il/Psika_word/elyon/09103870-g02.doc;להחלטה בעליון (04-01-2010)#בשפ 10387/09 ליאור צוברי נ' מדינת ישראל#שופטים: גאולה לוין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תפ;תפ</vt:lpwstr>
  </property>
  <property fmtid="{D5CDD505-2E9C-101B-9397-08002B2CF9AE}" pid="33" name="PROCNUM">
    <vt:lpwstr>9;91</vt:lpwstr>
  </property>
  <property fmtid="{D5CDD505-2E9C-101B-9397-08002B2CF9AE}" pid="34" name="PROCYEAR">
    <vt:lpwstr>80;09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m09000091 255 htm</vt:lpwstr>
  </property>
  <property fmtid="{D5CDD505-2E9C-101B-9397-08002B2CF9AE}" pid="37" name="TYPE">
    <vt:lpwstr>2</vt:lpwstr>
  </property>
  <property fmtid="{D5CDD505-2E9C-101B-9397-08002B2CF9AE}" pid="38" name="TYPE_ABS_DATE">
    <vt:lpwstr>390020091027</vt:lpwstr>
  </property>
  <property fmtid="{D5CDD505-2E9C-101B-9397-08002B2CF9AE}" pid="39" name="TYPE_N_DATE">
    <vt:lpwstr>39020091027</vt:lpwstr>
  </property>
  <property fmtid="{D5CDD505-2E9C-101B-9397-08002B2CF9AE}" pid="40" name="VOLUME">
    <vt:lpwstr/>
  </property>
  <property fmtid="{D5CDD505-2E9C-101B-9397-08002B2CF9AE}" pid="41" name="WORDNUMPAGES">
    <vt:lpwstr>8</vt:lpwstr>
  </property>
</Properties>
</file>