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752"/>
        <w:gridCol w:w="451"/>
        <w:gridCol w:w="1037"/>
        <w:gridCol w:w="517"/>
        <w:gridCol w:w="5045"/>
      </w:tblGrid>
      <w:tr>
        <w:trPr>
          <w:trHeight w:val="418" w:hRule="exact"/>
        </w:trPr>
        <w:tc>
          <w:tcPr>
            <w:tcW w:w="3757" w:type="dxa"/>
            <w:gridSpan w:val="4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בעכו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04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175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1325-08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לשכת תביעות גליל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משטרת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יצחק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5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554" w:type="dxa"/>
            <w:gridSpan w:val="2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21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אפריל </w:t>
            </w:r>
            <w:r>
              <w:rPr>
                <w:b/>
                <w:bCs/>
                <w:sz w:val="26"/>
                <w:szCs w:val="26"/>
              </w:rPr>
              <w:t>2009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04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</w:tcPr>
          <w:p>
            <w:pPr>
              <w:pStyle w:val="Normal"/>
              <w:snapToGrid w:val="false"/>
              <w:ind w:start="26" w:end="0"/>
              <w:jc w:val="end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rFonts w:cs="David"/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end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rFonts w:cs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>: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                    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לשכת תביעות גליל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משטרת ישראל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  <w:tr>
        <w:trPr/>
        <w:tc>
          <w:tcPr>
            <w:tcW w:w="8802" w:type="dxa"/>
            <w:gridSpan w:val="5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ascii="Arial" w:hAnsi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</w:tcPr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ם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: 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                    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אביהו יצחק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3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3"/>
      <w:r>
        <w:rPr>
          <w:b w:val="false"/>
          <w:b w:val="false"/>
          <w:bCs w:val="false"/>
          <w:u w:val="none"/>
          <w:rtl w:val="true"/>
        </w:rPr>
        <w:t xml:space="preserve"> המאשימה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הלנה עראף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הנאשם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נוכח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הסניגור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שלומי כהן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ס</w:t>
      </w:r>
      <w:r>
        <w:rPr>
          <w:b w:val="false"/>
          <w:bCs w:val="false"/>
          <w:u w:val="none"/>
          <w:rtl w:val="true"/>
        </w:rPr>
        <w:t xml:space="preserve">. </w:t>
      </w:r>
      <w:r>
        <w:rPr>
          <w:b w:val="false"/>
          <w:b w:val="false"/>
          <w:bCs w:val="false"/>
          <w:u w:val="none"/>
          <w:rtl w:val="true"/>
        </w:rPr>
        <w:t xml:space="preserve">ציבורי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overflowPunct w:val="false"/>
        <w:autoSpaceDE w:val="false"/>
        <w:ind w:end="0"/>
        <w:jc w:val="center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4" w:name="PsakDin"/>
      <w:bookmarkEnd w:id="4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גמר דין</w:t>
      </w:r>
    </w:p>
    <w:p>
      <w:pPr>
        <w:pStyle w:val="Normal"/>
        <w:overflowPunct w:val="false"/>
        <w:autoSpaceDE w:val="false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5" w:name="PsakDin"/>
      <w:bookmarkStart w:id="6" w:name="PsakDin"/>
      <w:bookmarkEnd w:id="6"/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start"/>
        <w:rPr/>
      </w:pPr>
      <w:r>
        <w:rPr>
          <w:rtl w:val="true"/>
        </w:rPr>
        <w:t>הנאשם הודה בעבירה של החזקת רכוש החשוד כגנוב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למעט הרשעה קודמת אחת שעניינה העדר משירות צבאי</w:t>
      </w:r>
      <w:r>
        <w:rPr>
          <w:rtl w:val="true"/>
        </w:rPr>
        <w:t xml:space="preserve">, </w:t>
      </w:r>
      <w:r>
        <w:rPr>
          <w:rtl w:val="true"/>
        </w:rPr>
        <w:t>הנאשם לא צבר לחובתו הרשעות קודמות נוספות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לאור טיב העבירה</w:t>
      </w:r>
      <w:r>
        <w:rPr>
          <w:rtl w:val="true"/>
        </w:rPr>
        <w:t xml:space="preserve">, </w:t>
      </w:r>
      <w:r>
        <w:rPr>
          <w:rtl w:val="true"/>
        </w:rPr>
        <w:t>הודאת הנאשם</w:t>
      </w:r>
      <w:r>
        <w:rPr>
          <w:rtl w:val="true"/>
        </w:rPr>
        <w:t xml:space="preserve">, </w:t>
      </w:r>
      <w:r>
        <w:rPr>
          <w:rtl w:val="true"/>
        </w:rPr>
        <w:t>המלצת שירות המבחן אשר מציין את נסיבותיו האישיות של הנאשם אף שלא הכיר בפליליות שבמעשהו</w:t>
      </w:r>
      <w:r>
        <w:rPr>
          <w:rtl w:val="true"/>
        </w:rPr>
        <w:t xml:space="preserve">, </w:t>
      </w:r>
      <w:r>
        <w:rPr>
          <w:rtl w:val="true"/>
        </w:rPr>
        <w:t>וכן לאור הסכמת הצדדים</w:t>
      </w:r>
      <w:r>
        <w:rPr>
          <w:rtl w:val="true"/>
        </w:rPr>
        <w:t xml:space="preserve">, </w:t>
      </w:r>
      <w:r>
        <w:rPr>
          <w:rtl w:val="true"/>
        </w:rPr>
        <w:t>אני מטיל עליו של</w:t>
      </w:r>
      <w:r>
        <w:rPr>
          <w:rtl w:val="true"/>
        </w:rPr>
        <w:t>"</w:t>
      </w:r>
      <w:r>
        <w:rPr>
          <w:rtl w:val="true"/>
        </w:rPr>
        <w:t xml:space="preserve">צ ללא הרשעה בהיקף של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שעות שאותן יבצע הנאשם בבית קסלר בקירת חיים בעבודות שיפוץ ואחזקה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בית המשפט מסביר לנאשם את התוצאות לפי הדין של הפרת הצו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המוצגים להחזיר למתלוננת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זכות ערעור למחוזי</w:t>
      </w:r>
      <w:r>
        <w:rPr>
          <w:rtl w:val="true"/>
        </w:rPr>
        <w:t xml:space="preserve">. </w:t>
      </w:r>
    </w:p>
    <w:p>
      <w:pPr>
        <w:pStyle w:val="David"/>
        <w:ind w:end="0"/>
        <w:jc w:val="both"/>
        <w:rPr/>
      </w:pPr>
      <w:r>
        <w:rPr>
          <w:rtl w:val="true"/>
        </w:rPr>
      </w:r>
    </w:p>
    <w:p>
      <w:pPr>
        <w:pStyle w:val="David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&lt;</w:t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 ניסן 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21/04/2009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וויליאם חאמד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tbl>
      <w:tblPr>
        <w:bidiVisual w:val="true"/>
        <w:tblW w:w="452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522"/>
      </w:tblGrid>
      <w:tr>
        <w:trPr>
          <w:trHeight w:val="364" w:hRule="atLeast"/>
        </w:trPr>
        <w:tc>
          <w:tcPr>
            <w:tcW w:w="4522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vanish/>
                <w:highlight w:val="yellow"/>
                <w:rtl w:val="true"/>
              </w:rPr>
              <w:t>&lt;&gt;</w:t>
            </w:r>
          </w:p>
        </w:tc>
      </w:tr>
      <w:tr>
        <w:trPr>
          <w:trHeight w:val="415" w:hRule="atLeast"/>
        </w:trPr>
        <w:tc>
          <w:tcPr>
            <w:tcW w:w="452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cs="David"/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וויליאם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חאמד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,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eastAsia="David" w:cs="David"/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color w:val="000000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vanish/>
          <w:highlight w:val="yellow"/>
          <w:rtl w:val="true"/>
        </w:rPr>
        <w:t>&lt;</w:t>
      </w:r>
      <w:r>
        <w:rPr>
          <w:rFonts w:ascii="Arial" w:hAnsi="Arial" w:cs="FrankRuehl"/>
          <w:sz w:val="28"/>
          <w:sz w:val="28"/>
          <w:szCs w:val="28"/>
          <w:rtl w:val="true"/>
        </w:rPr>
        <w:t>רונית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שושן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נוסח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מסמך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כפוף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לשינויי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ניסוח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ועריכה</w:t>
      </w:r>
    </w:p>
    <w:sectPr>
      <w:headerReference w:type="default" r:id="rId2"/>
      <w:footerReference w:type="default" r:id="rId3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/Users/liorb/Downloads/study2025-p2/SH-08-1325-A.doc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עכו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1325-08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>לשכת תביעות גליל</w:t>
    </w:r>
    <w:r>
      <w:rPr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משטרת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אביהו יצחק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1325-08"/>
    <w:docVar w:name="caseId" w:val="3065255"/>
    <w:docVar w:name="deriveClass" w:val="NGCS.Protocol.BL.Client.ProtocolBLClientCriminal"/>
    <w:docVar w:name="firstPageNumber" w:val="6"/>
    <w:docVar w:name="MyInfo" w:val="This document was extracted from Nevo's site"/>
    <w:docVar w:name="NGCS.caseInterestID" w:val="-1"/>
    <w:docVar w:name="NGCS.caseTypeID" w:val="-1"/>
    <w:docVar w:name="NGCS.courtID" w:val="-1"/>
    <w:docVar w:name="NGCS.isReservedAddressPlace" w:val="0"/>
    <w:docVar w:name="NGCS.isReservedVoucherPlace" w:val="0"/>
    <w:docVar w:name="NGCS.proceedingID" w:val="-1"/>
    <w:docVar w:name="NGCS.TemplateCategoryID" w:val="14"/>
    <w:docVar w:name="NGCS.userUPN" w:val="כולם"/>
    <w:docVar w:name="privellegeId" w:val="1"/>
    <w:docVar w:name="protocolId" w:val="306157"/>
    <w:docVar w:name="releaseSign" w:val="0"/>
    <w:docVar w:name="sittingDateTime" w:val="21/04/2009 11:00     "/>
    <w:docVar w:name="sittingId" w:val="12388387"/>
    <w:docVar w:name="sittingTypeId" w:val="2"/>
    <w:docVar w:name="WordClientAssemblyName" w:val="NGCS.Protocol.BL.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WW8Num5z0">
    <w:name w:val="WW8Num5z0"/>
    <w:qFormat/>
    <w:rPr/>
  </w:style>
  <w:style w:type="character" w:styleId="WW8Num7z0">
    <w:name w:val="WW8Num7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basedOn w:val="DefaultParagraphFont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>
      <w:rFonts w:cs="Arial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2009-04-22T01:09:00Z</dcterms:created>
  <dc:creator> </dc:creator>
  <dc:description/>
  <cp:keywords/>
  <dc:language>en-IL</dc:language>
  <cp:lastModifiedBy>hofit</cp:lastModifiedBy>
  <cp:lastPrinted>2009-04-21T12:13:00Z</cp:lastPrinted>
  <dcterms:modified xsi:type="dcterms:W3CDTF">2009-04-22T10:27:00Z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לשכת תביעות גליל-משטרת ישראל</vt:lpwstr>
  </property>
  <property fmtid="{D5CDD505-2E9C-101B-9397-08002B2CF9AE}" pid="3" name="APPELLEE">
    <vt:lpwstr>אביהו יצחק</vt:lpwstr>
  </property>
  <property fmtid="{D5CDD505-2E9C-101B-9397-08002B2CF9AE}" pid="4" name="CITY">
    <vt:lpwstr>עכו</vt:lpwstr>
  </property>
  <property fmtid="{D5CDD505-2E9C-101B-9397-08002B2CF9AE}" pid="5" name="DATE">
    <vt:lpwstr>20090421</vt:lpwstr>
  </property>
  <property fmtid="{D5CDD505-2E9C-101B-9397-08002B2CF9AE}" pid="6" name="DELEMATA">
    <vt:lpwstr/>
  </property>
  <property fmtid="{D5CDD505-2E9C-101B-9397-08002B2CF9AE}" pid="7" name="JUDGE">
    <vt:lpwstr>וויליאם חאמד</vt:lpwstr>
  </property>
  <property fmtid="{D5CDD505-2E9C-101B-9397-08002B2CF9AE}" pid="8" name="LAWYER">
    <vt:lpwstr>הלנה עראף;שלומי כהן</vt:lpwstr>
  </property>
  <property fmtid="{D5CDD505-2E9C-101B-9397-08002B2CF9AE}" pid="9" name="LINKK1">
    <vt:lpwstr/>
  </property>
  <property fmtid="{D5CDD505-2E9C-101B-9397-08002B2CF9AE}" pid="10" name="LINKK10">
    <vt:lpwstr/>
  </property>
  <property fmtid="{D5CDD505-2E9C-101B-9397-08002B2CF9AE}" pid="11" name="LINKK11">
    <vt:lpwstr/>
  </property>
  <property fmtid="{D5CDD505-2E9C-101B-9397-08002B2CF9AE}" pid="12" name="LINKK12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NEWPARTA">
    <vt:lpwstr>1325</vt:lpwstr>
  </property>
  <property fmtid="{D5CDD505-2E9C-101B-9397-08002B2CF9AE}" pid="22" name="NEWPARTB">
    <vt:lpwstr/>
  </property>
  <property fmtid="{D5CDD505-2E9C-101B-9397-08002B2CF9AE}" pid="23" name="NEWPARTC">
    <vt:lpwstr>08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>תפ</vt:lpwstr>
  </property>
  <property fmtid="{D5CDD505-2E9C-101B-9397-08002B2CF9AE}" pid="29" name="PROCNUM">
    <vt:lpwstr>1325</vt:lpwstr>
  </property>
  <property fmtid="{D5CDD505-2E9C-101B-9397-08002B2CF9AE}" pid="30" name="PROCYEAR">
    <vt:lpwstr>08</vt:lpwstr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380020090421</vt:lpwstr>
  </property>
  <property fmtid="{D5CDD505-2E9C-101B-9397-08002B2CF9AE}" pid="34" name="TYPE_N_DATE">
    <vt:lpwstr>38020090421</vt:lpwstr>
  </property>
  <property fmtid="{D5CDD505-2E9C-101B-9397-08002B2CF9AE}" pid="35" name="VOLUME">
    <vt:lpwstr/>
  </property>
  <property fmtid="{D5CDD505-2E9C-101B-9397-08002B2CF9AE}" pid="36" name="WORDNUMPAGES">
    <vt:lpwstr>2</vt:lpwstr>
  </property>
</Properties>
</file>