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 המשפט</w:t>
      </w:r>
      <w:r>
        <w:rPr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bookmarkStart w:id="0" w:name="זיהוי_תיק"/>
            <w:bookmarkStart w:id="1" w:name="בית_משפט"/>
            <w:bookmarkEnd w:id="0"/>
            <w:bookmarkEnd w:id="1"/>
            <w:r>
              <w:rPr>
                <w:b/>
                <w:b/>
                <w:bCs/>
                <w:rtl w:val="true"/>
              </w:rPr>
              <w:t>בית משפט השלום עכו</w:t>
            </w:r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 xml:space="preserve">פ  </w:t>
            </w:r>
            <w:r>
              <w:rPr>
                <w:b/>
                <w:bCs/>
              </w:rPr>
              <w:t>002320/04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תיק_עיקרי"/>
            <w:bookmarkStart w:id="3" w:name="תיק_עיקרי"/>
            <w:bookmarkEnd w:id="3"/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  <w:cantSplit w:val="true"/>
        </w:trPr>
        <w:tc>
          <w:tcPr>
            <w:tcW w:w="76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bookmarkStart w:id="4" w:name="LastJudge"/>
            <w:bookmarkStart w:id="5" w:name="שם_שופט"/>
            <w:bookmarkStart w:id="6" w:name="תאריך"/>
            <w:bookmarkEnd w:id="4"/>
            <w:bookmarkEnd w:id="5"/>
            <w:bookmarkEnd w:id="6"/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4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 ר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ש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צמח סגן נשיא</w:t>
            </w:r>
          </w:p>
        </w:tc>
        <w:tc>
          <w:tcPr>
            <w:tcW w:w="822" w:type="dxa"/>
            <w:tcBorders/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09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12/09/2005</w:t>
            </w:r>
          </w:p>
        </w:tc>
      </w:tr>
    </w:tbl>
    <w:p>
      <w:pPr>
        <w:pStyle w:val="Normal"/>
        <w:ind w:end="0"/>
        <w:jc w:val="start"/>
        <w:rPr>
          <w:szCs w:val="22"/>
        </w:rPr>
      </w:pPr>
      <w:r>
        <w:rPr>
          <w:szCs w:val="22"/>
          <w:rtl w:val="true"/>
        </w:rPr>
      </w:r>
    </w:p>
    <w:tbl>
      <w:tblPr>
        <w:bidiVisual w:val="true"/>
        <w:tblW w:w="8647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9"/>
        <w:gridCol w:w="1341"/>
        <w:gridCol w:w="5"/>
        <w:gridCol w:w="1762"/>
        <w:gridCol w:w="3081"/>
        <w:gridCol w:w="2423"/>
        <w:gridCol w:w="6"/>
      </w:tblGrid>
      <w:tr>
        <w:trPr/>
        <w:tc>
          <w:tcPr>
            <w:tcW w:w="1370" w:type="dxa"/>
            <w:gridSpan w:val="2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bookmarkStart w:id="7" w:name="FirstAppellant"/>
            <w:bookmarkEnd w:id="7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48" w:type="dxa"/>
            <w:gridSpan w:val="3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bookmarkStart w:id="8" w:name="שם_א"/>
            <w:bookmarkEnd w:id="8"/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  <w:tc>
          <w:tcPr>
            <w:tcW w:w="2423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70" w:type="dxa"/>
            <w:gridSpan w:val="2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67" w:type="dxa"/>
            <w:gridSpan w:val="2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81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23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70" w:type="dxa"/>
            <w:gridSpan w:val="2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48" w:type="dxa"/>
            <w:gridSpan w:val="3"/>
            <w:tcBorders/>
          </w:tcPr>
          <w:p>
            <w:pPr>
              <w:pStyle w:val="Style12"/>
              <w:ind w:end="0"/>
              <w:jc w:val="center"/>
              <w:rPr/>
            </w:pPr>
            <w:r>
              <w:rPr>
                <w:szCs w:val="28"/>
                <w:rtl w:val="true"/>
              </w:rPr>
              <w:t>נ</w:t>
            </w:r>
            <w:r>
              <w:rPr>
                <w:rFonts w:cs="Times New Roman"/>
                <w:szCs w:val="28"/>
                <w:rtl w:val="true"/>
              </w:rPr>
              <w:t xml:space="preserve">  </w:t>
            </w:r>
            <w:r>
              <w:rPr>
                <w:szCs w:val="28"/>
                <w:rtl w:val="true"/>
              </w:rPr>
              <w:t>ג</w:t>
            </w:r>
            <w:r>
              <w:rPr>
                <w:rFonts w:cs="Times New Roman"/>
                <w:szCs w:val="28"/>
                <w:rtl w:val="true"/>
              </w:rPr>
              <w:t xml:space="preserve">  </w:t>
            </w:r>
            <w:r>
              <w:rPr>
                <w:szCs w:val="28"/>
                <w:rtl w:val="true"/>
              </w:rPr>
              <w:t>ד</w:t>
            </w:r>
          </w:p>
        </w:tc>
        <w:tc>
          <w:tcPr>
            <w:tcW w:w="2423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</w:tr>
      <w:tr>
        <w:trPr/>
        <w:tc>
          <w:tcPr>
            <w:tcW w:w="1370" w:type="dxa"/>
            <w:gridSpan w:val="2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9" w:name="שם_ב"/>
            <w:bookmarkStart w:id="10" w:name="שם_ב"/>
            <w:bookmarkEnd w:id="10"/>
          </w:p>
        </w:tc>
        <w:tc>
          <w:tcPr>
            <w:tcW w:w="4848" w:type="dxa"/>
            <w:gridSpan w:val="3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כיאל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גאזי</w:t>
            </w:r>
          </w:p>
        </w:tc>
        <w:tc>
          <w:tcPr>
            <w:tcW w:w="2423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  <w:tr>
        <w:trPr/>
        <w:tc>
          <w:tcPr>
            <w:tcW w:w="1370" w:type="dxa"/>
            <w:gridSpan w:val="2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67" w:type="dxa"/>
            <w:gridSpan w:val="2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81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23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346" w:type="dxa"/>
            <w:gridSpan w:val="2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bookmarkStart w:id="11" w:name="FirstLawyer"/>
            <w:bookmarkEnd w:id="11"/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72" w:type="dxa"/>
            <w:gridSpan w:val="3"/>
            <w:tcBorders/>
          </w:tcPr>
          <w:p>
            <w:pPr>
              <w:pStyle w:val="Style12"/>
              <w:ind w:end="0"/>
              <w:jc w:val="both"/>
              <w:rPr/>
            </w:pPr>
            <w:bookmarkStart w:id="12" w:name="צד_ג"/>
            <w:bookmarkEnd w:id="12"/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tl w:val="true"/>
              </w:rPr>
              <w:t xml:space="preserve">:  </w:t>
            </w:r>
            <w:r>
              <w:rPr>
                <w:rtl w:val="true"/>
              </w:rPr>
              <w:t>מתמחה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יעקב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מירי</w:t>
            </w:r>
          </w:p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נוכח</w:t>
            </w:r>
          </w:p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הסניגורית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לוי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מלאך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13" w:name="LawTable"/>
      <w:bookmarkStart w:id="14" w:name="LawTable"/>
      <w:bookmarkEnd w:id="1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15" w:name="LawTable_End"/>
      <w:bookmarkStart w:id="16" w:name="LawTable_End"/>
      <w:bookmarkEnd w:id="1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  <w:lang w:val="en-IL" w:eastAsia="en-IL"/>
        </w:rPr>
      </w:pPr>
      <w:bookmarkStart w:id="17" w:name="PsakDin"/>
      <w:bookmarkEnd w:id="17"/>
      <w:r>
        <w:rPr>
          <w:rFonts w:cs="David"/>
          <w:b/>
          <w:b/>
          <w:bCs/>
          <w:sz w:val="32"/>
          <w:sz w:val="32"/>
          <w:szCs w:val="32"/>
          <w:u w:val="single"/>
          <w:rtl w:val="true"/>
          <w:lang w:val="en-IL" w:eastAsia="en-IL"/>
        </w:rPr>
        <w:t>גזר</w:t>
      </w:r>
      <w:r>
        <w:rPr>
          <w:b/>
          <w:b/>
          <w:bCs/>
          <w:sz w:val="32"/>
          <w:sz w:val="32"/>
          <w:szCs w:val="32"/>
          <w:u w:val="single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32"/>
          <w:sz w:val="32"/>
          <w:szCs w:val="32"/>
          <w:u w:val="single"/>
          <w:rtl w:val="true"/>
          <w:lang w:val="en-IL" w:eastAsia="en-IL"/>
        </w:rPr>
        <w:t>דין</w:t>
      </w:r>
    </w:p>
    <w:p>
      <w:pPr>
        <w:pStyle w:val="Normal"/>
        <w:ind w:end="0"/>
        <w:jc w:val="start"/>
        <w:rPr>
          <w:rFonts w:cs="David"/>
          <w:b/>
          <w:bCs/>
          <w:sz w:val="32"/>
          <w:szCs w:val="32"/>
          <w:u w:val="single"/>
          <w:lang w:val="en-IL" w:eastAsia="en-IL"/>
        </w:rPr>
      </w:pPr>
      <w:r>
        <w:rPr>
          <w:rFonts w:cs="David"/>
          <w:b/>
          <w:bCs/>
          <w:sz w:val="32"/>
          <w:szCs w:val="32"/>
          <w:u w:val="single"/>
          <w:rtl w:val="true"/>
          <w:lang w:val="en-IL" w:eastAsia="en-IL"/>
        </w:rPr>
      </w:r>
      <w:bookmarkStart w:id="18" w:name="PsakDin"/>
      <w:bookmarkStart w:id="19" w:name="PsakDin"/>
      <w:bookmarkEnd w:id="19"/>
    </w:p>
    <w:p>
      <w:pPr>
        <w:pStyle w:val="Normal"/>
        <w:ind w:end="0"/>
        <w:jc w:val="start"/>
        <w:rPr/>
      </w:pPr>
      <w:bookmarkStart w:id="20" w:name="ABSTRACT_START"/>
      <w:bookmarkEnd w:id="20"/>
      <w:r>
        <w:rPr>
          <w:rtl w:val="true"/>
        </w:rPr>
        <w:t>הנאשם הורשע</w:t>
      </w:r>
      <w:r>
        <w:rPr>
          <w:rtl w:val="true"/>
        </w:rPr>
        <w:t xml:space="preserve">, </w:t>
      </w:r>
      <w:r>
        <w:rPr>
          <w:rtl w:val="true"/>
        </w:rPr>
        <w:t>על פי הודאתו</w:t>
      </w:r>
      <w:r>
        <w:rPr>
          <w:rtl w:val="true"/>
        </w:rPr>
        <w:t xml:space="preserve">, </w:t>
      </w:r>
      <w:r>
        <w:rPr>
          <w:rtl w:val="true"/>
        </w:rPr>
        <w:t>לאחר הגשת כתב אישום מתוקן בעבירה של החזקת נשק</w:t>
      </w:r>
      <w:r>
        <w:rPr>
          <w:rtl w:val="true"/>
        </w:rPr>
        <w:t xml:space="preserve">, </w:t>
      </w:r>
      <w:r>
        <w:rPr>
          <w:rtl w:val="true"/>
        </w:rPr>
        <w:t>אביזר ותחמושת</w:t>
      </w:r>
      <w:r>
        <w:rPr>
          <w:rtl w:val="true"/>
        </w:rPr>
        <w:t xml:space="preserve">, </w:t>
      </w:r>
      <w:r>
        <w:rPr>
          <w:rtl w:val="true"/>
        </w:rPr>
        <w:t>בניגוד ל</w:t>
      </w:r>
      <w:hyperlink r:id="rId6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 xml:space="preserve">- </w:t>
      </w:r>
      <w:r>
        <w:rPr/>
        <w:t>1977</w:t>
      </w:r>
      <w:bookmarkStart w:id="21" w:name="ABSTRACT_END"/>
      <w:bookmarkEnd w:id="21"/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באי כח הצדדים הסכימו  כי לאחר הרשעת הנאשם יוגש תסקיר של שירות המבחן</w:t>
      </w:r>
      <w:r>
        <w:rPr>
          <w:rtl w:val="true"/>
        </w:rPr>
        <w:t xml:space="preserve">. </w:t>
      </w:r>
      <w:r>
        <w:rPr>
          <w:rtl w:val="true"/>
        </w:rPr>
        <w:t>בא כח המאשימה ציינה כי אין היא מתנגדת להגשת התסקיר</w:t>
      </w:r>
      <w:r>
        <w:rPr>
          <w:rtl w:val="true"/>
        </w:rPr>
        <w:t xml:space="preserve">, </w:t>
      </w:r>
      <w:r>
        <w:rPr>
          <w:rtl w:val="true"/>
        </w:rPr>
        <w:t>אולם אין המאשימה מתחייבת לקבל את המלצות התסקיר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start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start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 xml:space="preserve">ואכן הוגש תסקיר בעניינו של הנאשם </w:t>
      </w:r>
      <w:r>
        <w:rPr>
          <w:rtl w:val="true"/>
        </w:rPr>
        <w:t>(</w:t>
      </w:r>
      <w:r>
        <w:rPr>
          <w:rtl w:val="true"/>
        </w:rPr>
        <w:t>תס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במקביל למשפטו של הנאשם בתיק זה</w:t>
      </w:r>
      <w:r>
        <w:rPr>
          <w:rtl w:val="true"/>
        </w:rPr>
        <w:t xml:space="preserve">, </w:t>
      </w:r>
      <w:r>
        <w:rPr>
          <w:rtl w:val="true"/>
        </w:rPr>
        <w:t xml:space="preserve">התנהל תיק נוסף בבית משפט זה בעניינו של אדם אחר  </w:t>
      </w:r>
      <w:r>
        <w:rPr>
          <w:rtl w:val="true"/>
        </w:rPr>
        <w:t>(</w:t>
      </w:r>
      <w:r>
        <w:rPr>
          <w:rtl w:val="true"/>
        </w:rPr>
        <w:t>מחמוד בן סאלח סמרי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2321/04</w:t>
      </w:r>
      <w:r>
        <w:rPr>
          <w:rtl w:val="true"/>
        </w:rPr>
        <w:t xml:space="preserve">). </w:t>
      </w:r>
      <w:r>
        <w:rPr>
          <w:rtl w:val="true"/>
        </w:rPr>
        <w:t xml:space="preserve">אף שם מדובר בעבירה על </w:t>
      </w:r>
      <w:hyperlink r:id="rId8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אך ביחס לנאשם בתיק הנ</w:t>
      </w:r>
      <w:r>
        <w:rPr>
          <w:rtl w:val="true"/>
        </w:rPr>
        <w:t>"</w:t>
      </w:r>
      <w:r>
        <w:rPr>
          <w:rtl w:val="true"/>
        </w:rPr>
        <w:t>ל מדובר בהחזקה של אקדח אחד</w:t>
      </w:r>
      <w:r>
        <w:rPr>
          <w:rtl w:val="true"/>
        </w:rPr>
        <w:t xml:space="preserve">, </w:t>
      </w:r>
      <w:r>
        <w:rPr>
          <w:rtl w:val="true"/>
        </w:rPr>
        <w:t>מחסנית ותחמושת</w:t>
      </w:r>
      <w:r>
        <w:rPr>
          <w:rtl w:val="true"/>
        </w:rPr>
        <w:t xml:space="preserve">. </w:t>
      </w:r>
      <w:r>
        <w:rPr>
          <w:rtl w:val="true"/>
        </w:rPr>
        <w:t>שני הנאשמים</w:t>
      </w:r>
      <w:r>
        <w:rPr>
          <w:rtl w:val="true"/>
        </w:rPr>
        <w:t xml:space="preserve">, </w:t>
      </w:r>
      <w:r>
        <w:rPr>
          <w:rtl w:val="true"/>
        </w:rPr>
        <w:t>הן זה שבתיק הנדון והן זה שבתיק האחר</w:t>
      </w:r>
      <w:r>
        <w:rPr>
          <w:rtl w:val="true"/>
        </w:rPr>
        <w:t xml:space="preserve">, </w:t>
      </w:r>
      <w:r>
        <w:rPr>
          <w:rtl w:val="true"/>
        </w:rPr>
        <w:t>קיבלו את כלי הנשק מאדם בשם חאלד כיאל אשר ביקש מהם</w:t>
      </w:r>
      <w:r>
        <w:rPr>
          <w:rtl w:val="true"/>
        </w:rPr>
        <w:t xml:space="preserve">, </w:t>
      </w:r>
      <w:r>
        <w:rPr>
          <w:rtl w:val="true"/>
        </w:rPr>
        <w:t>לטענתם</w:t>
      </w:r>
      <w:r>
        <w:rPr>
          <w:rtl w:val="true"/>
        </w:rPr>
        <w:t xml:space="preserve">, </w:t>
      </w:r>
      <w:r>
        <w:rPr>
          <w:rtl w:val="true"/>
        </w:rPr>
        <w:t>לשמור על כלי הנשק עבורו</w:t>
      </w:r>
      <w:r>
        <w:rPr>
          <w:rtl w:val="true"/>
        </w:rPr>
        <w:t xml:space="preserve">, </w:t>
      </w:r>
      <w:r>
        <w:rPr>
          <w:rtl w:val="true"/>
        </w:rPr>
        <w:t>עד שיזקק להם</w:t>
      </w:r>
      <w:r>
        <w:rPr>
          <w:rtl w:val="true"/>
        </w:rPr>
        <w:t xml:space="preserve">.  </w:t>
      </w:r>
      <w:r>
        <w:rPr>
          <w:rtl w:val="true"/>
        </w:rPr>
        <w:t>אותו חאלד כיאל נעצר</w:t>
      </w:r>
      <w:r>
        <w:rPr>
          <w:rtl w:val="true"/>
        </w:rPr>
        <w:t xml:space="preserve">, </w:t>
      </w:r>
      <w:r>
        <w:rPr>
          <w:rtl w:val="true"/>
        </w:rPr>
        <w:t>נחקר ונדון בבית המשפט המחוזי בחיפה</w:t>
      </w:r>
      <w:r>
        <w:rPr>
          <w:rtl w:val="true"/>
        </w:rPr>
        <w:t xml:space="preserve">, </w:t>
      </w:r>
      <w:r>
        <w:rPr>
          <w:rtl w:val="true"/>
        </w:rPr>
        <w:t xml:space="preserve">בגין העבירה של רכישה של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האקדחים </w:t>
      </w:r>
      <w:r>
        <w:rPr>
          <w:rtl w:val="true"/>
        </w:rPr>
        <w:t>(</w:t>
      </w:r>
      <w:r>
        <w:rPr>
          <w:rtl w:val="true"/>
        </w:rPr>
        <w:t>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), </w:t>
      </w:r>
      <w:r>
        <w:rPr>
          <w:rtl w:val="true"/>
        </w:rPr>
        <w:t>השלושה שבתיק זה והאחד המתייחס לנאשם בתיק האמור לעיל</w:t>
      </w:r>
      <w:r>
        <w:rPr>
          <w:rtl w:val="true"/>
        </w:rPr>
        <w:t xml:space="preserve">. </w:t>
      </w:r>
      <w:r>
        <w:rPr>
          <w:rtl w:val="true"/>
        </w:rPr>
        <w:t xml:space="preserve">חאלד כיאל נדון לעונש של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מתוכם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על העונש הנ</w:t>
      </w:r>
      <w:r>
        <w:rPr>
          <w:rtl w:val="true"/>
        </w:rPr>
        <w:t>"</w:t>
      </w:r>
      <w:r>
        <w:rPr>
          <w:rtl w:val="true"/>
        </w:rPr>
        <w:t>ל הגיש חאלד כיאל ערעור לבית המשפט העליון</w:t>
      </w:r>
      <w:r>
        <w:rPr>
          <w:rtl w:val="true"/>
        </w:rPr>
        <w:t xml:space="preserve">, </w:t>
      </w:r>
      <w:r>
        <w:rPr>
          <w:rtl w:val="true"/>
        </w:rPr>
        <w:t>אולם בית המשפט דחה את ערעורו וקבע כי העונש איננו חמור</w:t>
      </w:r>
      <w:r>
        <w:rPr>
          <w:rtl w:val="true"/>
        </w:rPr>
        <w:t xml:space="preserve">. </w:t>
      </w:r>
      <w:r>
        <w:rPr>
          <w:rtl w:val="true"/>
        </w:rPr>
        <w:t>משנעצר אותו חאלד כיאל ונחקר במשטרה</w:t>
      </w:r>
      <w:r>
        <w:rPr>
          <w:rtl w:val="true"/>
        </w:rPr>
        <w:t xml:space="preserve">, </w:t>
      </w:r>
      <w:r>
        <w:rPr>
          <w:rtl w:val="true"/>
        </w:rPr>
        <w:t>נאלץ להסגיר את זהותם של אלה שקיבלו ממנו את כלי הנשק ובעקבות כך הגיעו חוקרי המשטרה לנאשם בתיק זה ולנאשם שבתיק האחר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לא היתה לנאשם ברירה</w:t>
      </w:r>
      <w:r>
        <w:rPr>
          <w:rtl w:val="true"/>
        </w:rPr>
        <w:t xml:space="preserve">, </w:t>
      </w:r>
      <w:r>
        <w:rPr>
          <w:rtl w:val="true"/>
        </w:rPr>
        <w:t>אלא למסור את הנשק לידי המשטרה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 זכ</w:t>
      </w:r>
      <w:r>
        <w:rPr>
          <w:rtl w:val="true"/>
        </w:rPr>
        <w:t>"</w:t>
      </w:r>
      <w:r>
        <w:rPr>
          <w:rtl w:val="true"/>
        </w:rPr>
        <w:t xml:space="preserve">ד מיום </w:t>
      </w:r>
      <w:r>
        <w:rPr/>
        <w:t>25.3.04</w:t>
      </w:r>
      <w:r>
        <w:rPr>
          <w:rtl w:val="true"/>
        </w:rPr>
        <w:t xml:space="preserve"> </w:t>
      </w:r>
      <w:r>
        <w:rPr>
          <w:rtl w:val="true"/>
        </w:rPr>
        <w:t>של קצין התישאול נימר בדר</w:t>
      </w:r>
      <w:r>
        <w:rPr>
          <w:rtl w:val="true"/>
        </w:rPr>
        <w:t xml:space="preserve">, </w:t>
      </w:r>
      <w:r>
        <w:rPr>
          <w:rtl w:val="true"/>
        </w:rPr>
        <w:t>אל ראש מחלק חקירות</w:t>
      </w:r>
      <w:r>
        <w:rPr>
          <w:rtl w:val="true"/>
        </w:rPr>
        <w:t xml:space="preserve">, </w:t>
      </w:r>
      <w:r>
        <w:rPr>
          <w:rtl w:val="true"/>
        </w:rPr>
        <w:t xml:space="preserve">מציין קצין התישאול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סוכם עם פרקליטת המחוז שנגד שני החשודים יפתחו תיקים פליליים בגין החזקת 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ובעת הדיון בתיק בית המשפט יעלה עניין שיתוף הפעולה שלהם והעובדה שהם מסרו לידי המשטרה את האקדחים מרצונם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עובדה זו הובאה לידיעת בית המשפט במסגרת הטיעונים לעונש</w:t>
      </w:r>
      <w:r>
        <w:rPr>
          <w:rtl w:val="true"/>
        </w:rPr>
        <w:t xml:space="preserve">, </w:t>
      </w:r>
      <w:r>
        <w:rPr>
          <w:rtl w:val="true"/>
        </w:rPr>
        <w:t>הן מטעם המאשימה והן מטעם הסניגורית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הצדדים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ביקש לגזור עונש של מאסר בפועל על הנאשם למרות נסיבותיו האישיות</w:t>
      </w:r>
      <w:r>
        <w:rPr>
          <w:rtl w:val="true"/>
        </w:rPr>
        <w:t xml:space="preserve">, </w:t>
      </w:r>
      <w:r>
        <w:rPr>
          <w:rtl w:val="true"/>
        </w:rPr>
        <w:t>למרות שיתוף הפעולה כאמור לעיל ולמרות האמור בתסקיר שירות המבחן תס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וכן הגיש אסופת פסקי דין בדבר חומרת הענישה</w:t>
      </w:r>
      <w:r>
        <w:rPr>
          <w:rtl w:val="true"/>
        </w:rPr>
        <w:t xml:space="preserve">. </w:t>
      </w:r>
      <w:r>
        <w:rPr>
          <w:rtl w:val="true"/>
        </w:rPr>
        <w:t>כאן המקום לציין כי בשל הנקודות הזהות בתיק זה ובתיק האחר</w:t>
      </w:r>
      <w:r>
        <w:rPr>
          <w:rtl w:val="true"/>
        </w:rPr>
        <w:t xml:space="preserve">, </w:t>
      </w:r>
      <w:r>
        <w:rPr>
          <w:rtl w:val="true"/>
        </w:rPr>
        <w:t>חלו שיבושים בפרוטוקול הדיון של בית המשפט ושיבושים אלה תוקנו בכתב ידי</w:t>
      </w:r>
      <w:r>
        <w:rPr>
          <w:rtl w:val="true"/>
        </w:rPr>
        <w:t xml:space="preserve">, </w:t>
      </w:r>
      <w:r>
        <w:rPr>
          <w:rtl w:val="true"/>
        </w:rPr>
        <w:t>לאחר שעברתי על הפרוטוקול</w:t>
      </w:r>
      <w:r>
        <w:rPr>
          <w:rtl w:val="true"/>
        </w:rPr>
        <w:t xml:space="preserve">. </w:t>
      </w:r>
      <w:r>
        <w:rPr>
          <w:rtl w:val="true"/>
        </w:rPr>
        <w:t>עוד אציין כי חווה</w:t>
      </w:r>
      <w:r>
        <w:rPr>
          <w:rtl w:val="true"/>
        </w:rPr>
        <w:t>"</w:t>
      </w:r>
      <w:r>
        <w:rPr>
          <w:rtl w:val="true"/>
        </w:rPr>
        <w:t>ד של המומחה לעניין כלי הנשק ואסופת פסקי הדין תוייקו בתיק זה</w:t>
      </w:r>
      <w:r>
        <w:rPr>
          <w:rtl w:val="true"/>
        </w:rPr>
        <w:t xml:space="preserve">, </w:t>
      </w:r>
      <w:r>
        <w:rPr>
          <w:rtl w:val="true"/>
        </w:rPr>
        <w:t xml:space="preserve">אף כי הן רלוונטיות לשני התיקים </w:t>
      </w:r>
      <w:r>
        <w:rPr>
          <w:rtl w:val="true"/>
        </w:rPr>
        <w:t>(</w:t>
      </w:r>
      <w:r>
        <w:rPr>
          <w:rtl w:val="true"/>
        </w:rPr>
        <w:t xml:space="preserve">גם לתיק </w:t>
      </w:r>
      <w:r>
        <w:rPr/>
        <w:t>2321/04</w:t>
      </w:r>
      <w:r>
        <w:rPr>
          <w:rtl w:val="true"/>
        </w:rPr>
        <w:t xml:space="preserve">).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הנאשם הביע חרטה על המעשה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>נטען כי הנשק הוחזק לכאורה ע</w:t>
      </w:r>
      <w:r>
        <w:rPr>
          <w:rtl w:val="true"/>
        </w:rPr>
        <w:t>"</w:t>
      </w:r>
      <w:r>
        <w:rPr>
          <w:rtl w:val="true"/>
        </w:rPr>
        <w:t>י הנאשם על מנת להגן על בני משפחתו מפני מתנקשים אפשריים</w:t>
      </w:r>
      <w:r>
        <w:rPr>
          <w:rtl w:val="true"/>
        </w:rPr>
        <w:t xml:space="preserve">, </w:t>
      </w:r>
      <w:r>
        <w:rPr>
          <w:rtl w:val="true"/>
        </w:rPr>
        <w:t>בעקבות רצח בנו</w:t>
      </w:r>
      <w:r>
        <w:rPr>
          <w:rtl w:val="true"/>
        </w:rPr>
        <w:t xml:space="preserve">, </w:t>
      </w:r>
      <w:r>
        <w:rPr>
          <w:rtl w:val="true"/>
        </w:rPr>
        <w:t>על רקע של סכסוכים פוליטיים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ציין ב</w:t>
      </w:r>
      <w:r>
        <w:rPr>
          <w:rtl w:val="true"/>
        </w:rPr>
        <w:t>"</w:t>
      </w:r>
      <w:r>
        <w:rPr>
          <w:rtl w:val="true"/>
        </w:rPr>
        <w:t>כ המאשימה כי החזקת הנשק בידי הנאשם נעשתה לאחר שנערכה סולחה בין הצדדים ולכאורה טענות הנאשם בעניין זה חסרות בסיס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הסניגורית טענה כי יש להקל בעונשו של הנאשם משום שהנשק הוסגר לידי המשטרה ובנסיבות כאלה</w:t>
      </w:r>
      <w:r>
        <w:rPr>
          <w:rtl w:val="true"/>
        </w:rPr>
        <w:t xml:space="preserve">, </w:t>
      </w:r>
      <w:r>
        <w:rPr>
          <w:rtl w:val="true"/>
        </w:rPr>
        <w:t>ענישה מקלה מעודדת את מי שמחזיק נשק שלא כדין</w:t>
      </w:r>
      <w:r>
        <w:rPr>
          <w:rtl w:val="true"/>
        </w:rPr>
        <w:t xml:space="preserve">, </w:t>
      </w:r>
      <w:r>
        <w:rPr>
          <w:rtl w:val="true"/>
        </w:rPr>
        <w:t>למסור אותו לידי הרשויות</w:t>
      </w:r>
      <w:r>
        <w:rPr>
          <w:rtl w:val="true"/>
        </w:rPr>
        <w:t xml:space="preserve">, </w:t>
      </w:r>
      <w:r>
        <w:rPr>
          <w:rtl w:val="true"/>
        </w:rPr>
        <w:t>כי הנאשם הביע חרטה וכי יגרם לו ולמשפחתו נזק רציני עקב התדרדרות מצבו הכלכלי</w:t>
      </w:r>
      <w:r>
        <w:rPr>
          <w:rtl w:val="true"/>
        </w:rPr>
        <w:t xml:space="preserve">. </w:t>
      </w:r>
      <w:r>
        <w:rPr>
          <w:rtl w:val="true"/>
        </w:rPr>
        <w:t>לפיכך ביקשה כי יוטל על הנאשם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מאסר מותנה ארוך ומרתיע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אפילו מקסימלי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ולחילופין להסתפק בעבודות שירות לתקופה קצרה</w:t>
      </w:r>
      <w:r>
        <w:rPr>
          <w:b/>
          <w:bCs/>
          <w:rtl w:val="true"/>
        </w:rPr>
        <w:t>".</w:t>
      </w:r>
      <w:r>
        <w:rPr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כמו כן ציינה כי הנשק לא שימש לביצוע עבירה כלשהי מאז שנגנב בידי בעליו</w:t>
      </w:r>
      <w:r>
        <w:rPr>
          <w:rtl w:val="true"/>
        </w:rPr>
        <w:t xml:space="preserve">, </w:t>
      </w:r>
      <w:r>
        <w:rPr>
          <w:rtl w:val="true"/>
        </w:rPr>
        <w:t>והפנתה לפסק דינו של בית המשפט העליון בעניין סאלח עודאתאללה</w:t>
      </w:r>
      <w:r>
        <w:rPr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8102/02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בו נדון הנאשם  בגין נשיאה של </w:t>
      </w:r>
      <w:r>
        <w:rPr>
          <w:b/>
          <w:b/>
          <w:bCs/>
          <w:rtl w:val="true"/>
        </w:rPr>
        <w:t xml:space="preserve">אביזרי נשק ותחמושת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 מאסר בעבודות שירות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 שירות המבחן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  <w:t>בתסקיר שירות המבחן תס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פורטו בהרחבה נסיבותיו האישיות והמשפחתיות של הנאשם</w:t>
      </w:r>
      <w:r>
        <w:rPr>
          <w:rtl w:val="true"/>
        </w:rPr>
        <w:t xml:space="preserve">, </w:t>
      </w:r>
      <w:r>
        <w:rPr>
          <w:rtl w:val="true"/>
        </w:rPr>
        <w:t>נסיבות טראגיות לכל הדיעות</w:t>
      </w:r>
      <w:r>
        <w:rPr>
          <w:rtl w:val="true"/>
        </w:rPr>
        <w:t xml:space="preserve">. </w:t>
      </w:r>
      <w:r>
        <w:rPr>
          <w:rtl w:val="true"/>
        </w:rPr>
        <w:t xml:space="preserve">בנו בן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 xml:space="preserve">נרצח בשנת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על רקע סכסוך בבחירות לרשות המקומית</w:t>
      </w:r>
      <w:r>
        <w:rPr>
          <w:rtl w:val="true"/>
        </w:rPr>
        <w:t xml:space="preserve">, </w:t>
      </w:r>
      <w:r>
        <w:rPr>
          <w:rtl w:val="true"/>
        </w:rPr>
        <w:t>בתו חלתה בסרטן והיא מקבלת טיפולים</w:t>
      </w:r>
      <w:r>
        <w:rPr>
          <w:rtl w:val="true"/>
        </w:rPr>
        <w:t xml:space="preserve">. </w:t>
      </w:r>
      <w:r>
        <w:rPr>
          <w:rtl w:val="true"/>
        </w:rPr>
        <w:t>שירות המבחן הביע את הערכתו כי שליחתו של הנאשם לכלא תגרום למשבר נוסף לו ולמשפחתו</w:t>
      </w:r>
      <w:r>
        <w:rPr>
          <w:rtl w:val="true"/>
        </w:rPr>
        <w:t xml:space="preserve">, </w:t>
      </w:r>
      <w:r>
        <w:rPr>
          <w:rtl w:val="true"/>
        </w:rPr>
        <w:t>בנוסף למצב הכלכלי של המשפחה</w:t>
      </w:r>
      <w:r>
        <w:rPr>
          <w:rtl w:val="true"/>
        </w:rPr>
        <w:t xml:space="preserve">, </w:t>
      </w:r>
      <w:r>
        <w:rPr>
          <w:rtl w:val="true"/>
        </w:rPr>
        <w:t>שכן הוא מפרנס יחיד</w:t>
      </w:r>
      <w:r>
        <w:rPr>
          <w:rtl w:val="true"/>
        </w:rPr>
        <w:t xml:space="preserve">. </w:t>
      </w:r>
      <w:r>
        <w:rPr>
          <w:rtl w:val="true"/>
        </w:rPr>
        <w:t xml:space="preserve">שירות המבחן העריך כי מאסר על תנאי יהווה עונש </w:t>
      </w:r>
      <w:r>
        <w:rPr>
          <w:rtl w:val="true"/>
        </w:rPr>
        <w:t>"</w:t>
      </w:r>
      <w:r>
        <w:rPr>
          <w:rtl w:val="true"/>
        </w:rPr>
        <w:t>בעל אלמנט הרתעתי ומציב גבולות לעתיד</w:t>
      </w:r>
      <w:r>
        <w:rPr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פ </w:t>
      </w:r>
      <w:r>
        <w:rPr>
          <w:b/>
          <w:bCs/>
        </w:rPr>
        <w:t>359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hyperlink r:id="rId11">
        <w:r>
          <w:rPr>
            <w:rStyle w:val="Hyperlink"/>
            <w:b/>
            <w:bCs/>
            <w:color w:val="0000FF"/>
            <w:u w:val="single"/>
          </w:rPr>
          <w:t>344/81</w:t>
        </w:r>
      </w:hyperlink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מדינת ישראל 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שחר סגל ואח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לה</w:t>
      </w:r>
      <w:r>
        <w:rPr>
          <w:b/>
          <w:bCs/>
          <w:rtl w:val="true"/>
        </w:rPr>
        <w:t>(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313</w:t>
      </w:r>
      <w:r>
        <w:rPr>
          <w:b/>
          <w:bCs/>
          <w:rtl w:val="true"/>
        </w:rPr>
        <w:t xml:space="preserve"> ,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323-324</w:t>
      </w:r>
      <w:r>
        <w:rPr>
          <w:rtl w:val="true"/>
        </w:rPr>
        <w:t xml:space="preserve">  </w:t>
      </w:r>
      <w:r>
        <w:rPr>
          <w:rtl w:val="true"/>
        </w:rPr>
        <w:t>אומר כב</w:t>
      </w:r>
      <w:r>
        <w:rPr>
          <w:rtl w:val="true"/>
        </w:rPr>
        <w:t xml:space="preserve">' </w:t>
      </w:r>
      <w:r>
        <w:rPr>
          <w:rtl w:val="true"/>
        </w:rPr>
        <w:t>השופט מ</w:t>
      </w:r>
      <w:r>
        <w:rPr>
          <w:rtl w:val="true"/>
        </w:rPr>
        <w:t xml:space="preserve">. </w:t>
      </w:r>
      <w:r>
        <w:rPr>
          <w:rtl w:val="true"/>
        </w:rPr>
        <w:t>אלון על תפקידו של שירות המבחן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מתוך עיון ב</w:t>
      </w:r>
      <w:hyperlink r:id="rId12"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b/>
            <w:bCs/>
            <w:color w:val="0000FF"/>
            <w:u w:val="single"/>
          </w:rPr>
          <w:t>37</w:t>
        </w:r>
      </w:hyperlink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hyperlink r:id="rId13">
        <w:r>
          <w:rPr>
            <w:rStyle w:val="Hyperlink"/>
            <w:b/>
            <w:bCs/>
            <w:color w:val="0000FF"/>
            <w:u w:val="single"/>
          </w:rPr>
          <w:t>38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4">
        <w:r>
          <w:rPr>
            <w:rStyle w:val="Hyperlink"/>
            <w:b/>
            <w:b/>
            <w:bCs/>
            <w:rtl w:val="true"/>
          </w:rPr>
          <w:t>חוק העונשין</w:t>
        </w:r>
      </w:hyperlink>
      <w:r>
        <w:rPr>
          <w:b/>
          <w:b/>
          <w:bCs/>
          <w:rtl w:val="true"/>
        </w:rPr>
        <w:t xml:space="preserve"> נימצא למדים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 קצין המבחן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בהגשת התסקיר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 לסייע לבית המשפט בקביעת טיב העונש ומידתו בשלושה אלה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מסירת מרב המידע על תולדות חייו של הנאשם ועל מצבו המשפחתי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הכלכלי והבריאותי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התחקות אחר הנסיבות המיוחדות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אם ישנן כאלה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ואם יעלה הדבר בידי קצין המבחן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שהביאו את הנאשם לעבירה שעבר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המלצה לפני בית 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איזו דרך ענישה יש בה סיכוי להחזיר את הנאשם למוטב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 xml:space="preserve">סעיף </w:t>
      </w:r>
      <w:r>
        <w:rPr>
          <w:b/>
          <w:bCs/>
        </w:rPr>
        <w:t>37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), 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מאליו מובן כי העניין השלישי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ההמלצה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מבוסס הוא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כפועל יוצא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 שני העניינים הראשונים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ומכאן חשיבות האמינות והדיוק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ככל שניתן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באיסוף המידע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בהסקת מסקנות הימנו ובהעמדת כל אלה לרשות בית המשפט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סיוע זה מידי קצין המבחן חשוב וחיוני הוא לבית 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ונועד למלא חלל ריק בחומר שלפני השופט בעשותו במלאכת הענישה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שהרי אופיו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טיבו וסביבתו של העבריין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הרקע לעבריינותו והסיכויים להחזירו למוטב מידע הכרחי וחיוני הם לשופט בבואו להטיל עונש מתאים והולם בטיבו ובמידתו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ובדרך כלל לא עומד לרשותו מקור כל שהוא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שהימנו יוכל לשאוב ולדעת על כל אלה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בעוד תפקיד שירות המבחן להביא את האינפורמציה המלאה על העבריין לפני 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 הוא זה אשר יקבע את העונש שיש לגזור על הנאשם תוך התחשבות גם באינטרס הציבורי הכללי</w:t>
      </w:r>
      <w:r>
        <w:rPr>
          <w:rtl w:val="true"/>
        </w:rPr>
        <w:t xml:space="preserve">, </w:t>
      </w:r>
      <w:r>
        <w:rPr>
          <w:rtl w:val="true"/>
        </w:rPr>
        <w:t>נסיבות העבירה</w:t>
      </w:r>
      <w:r>
        <w:rPr>
          <w:rtl w:val="true"/>
        </w:rPr>
        <w:t xml:space="preserve">, </w:t>
      </w:r>
      <w:r>
        <w:rPr>
          <w:rtl w:val="true"/>
        </w:rPr>
        <w:t>הצורך בהרתעה ועוד שיקולי ענישה נוספים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  <w:t>עבירות בנשק הן חמורות ביותר</w:t>
      </w:r>
      <w:r>
        <w:rPr>
          <w:rtl w:val="true"/>
        </w:rPr>
        <w:t xml:space="preserve">, </w:t>
      </w:r>
      <w:r>
        <w:rPr>
          <w:rtl w:val="true"/>
        </w:rPr>
        <w:t>ודומה כי אין צורך להרחיב את הדיבור על חומרתן</w:t>
      </w:r>
      <w:r>
        <w:rPr>
          <w:rtl w:val="true"/>
        </w:rPr>
        <w:t xml:space="preserve">. </w:t>
      </w:r>
      <w:r>
        <w:rPr>
          <w:rtl w:val="true"/>
        </w:rPr>
        <w:t>המחוקק הבהיר זאת היטב בקובעו עונשים כבדים לצידן</w:t>
      </w:r>
      <w:r>
        <w:rPr>
          <w:rtl w:val="true"/>
        </w:rPr>
        <w:t xml:space="preserve">, </w:t>
      </w:r>
      <w:r>
        <w:rPr>
          <w:rtl w:val="true"/>
        </w:rPr>
        <w:t>וברוח זו נקבעה בפסיקה מדיניות ענישה מחמירה לעניינים אלה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 בך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ב</w:t>
      </w:r>
      <w:hyperlink r:id="rId15"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ש </w:t>
        </w:r>
        <w:r>
          <w:rPr>
            <w:rStyle w:val="Hyperlink"/>
          </w:rPr>
          <w:t>625/82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חלמי אבו מוך 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 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 לז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668</w:t>
      </w:r>
      <w:r>
        <w:rPr>
          <w:rtl w:val="true"/>
        </w:rPr>
        <w:t xml:space="preserve"> </w:t>
      </w:r>
      <w:r>
        <w:rPr>
          <w:rtl w:val="true"/>
        </w:rPr>
        <w:t>סיווג את העבירות בנשק לפי חומרתן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בדונו בבקשה למעצר עד תום ההליכים</w:t>
      </w:r>
      <w:r>
        <w:rPr>
          <w:rtl w:val="true"/>
        </w:rPr>
        <w:t>)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Style13"/>
        <w:spacing w:lineRule="auto" w:line="360"/>
        <w:ind w:end="851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לקטיגוריות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הבולטות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שביניהן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האפשרויות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סיווג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b/>
          <w:bCs/>
          <w:rtl w:val="true"/>
        </w:rPr>
        <w:t xml:space="preserve">. </w:t>
      </w:r>
    </w:p>
    <w:p>
      <w:pPr>
        <w:pStyle w:val="Style13"/>
        <w:spacing w:lineRule="auto" w:line="360"/>
        <w:ind w:end="851"/>
        <w:jc w:val="both"/>
        <w:rPr>
          <w:b/>
          <w:bCs/>
        </w:rPr>
      </w:pPr>
      <w:r>
        <w:rPr>
          <w:b/>
          <w:b/>
          <w:bCs/>
          <w:rtl w:val="true"/>
        </w:rPr>
        <w:t>אלך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b/>
          <w:bCs/>
          <w:rtl w:val="true"/>
        </w:rPr>
        <w:t xml:space="preserve">: </w:t>
      </w:r>
    </w:p>
    <w:p>
      <w:pPr>
        <w:pStyle w:val="Style13"/>
        <w:spacing w:lineRule="auto" w:line="360"/>
        <w:ind w:end="851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המיועדים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   </w:t>
      </w:r>
      <w:r>
        <w:rPr>
          <w:b/>
          <w:b/>
          <w:bCs/>
          <w:rtl w:val="true"/>
        </w:rPr>
        <w:t>בביטחון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. </w:t>
      </w:r>
    </w:p>
    <w:p>
      <w:pPr>
        <w:pStyle w:val="Style13"/>
        <w:spacing w:lineRule="auto" w:line="360"/>
        <w:ind w:end="851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ספציפית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התפרצות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וכו</w:t>
      </w:r>
      <w:r>
        <w:rPr>
          <w:b/>
          <w:bCs/>
          <w:rtl w:val="true"/>
        </w:rPr>
        <w:t xml:space="preserve">'. </w:t>
      </w:r>
    </w:p>
    <w:p>
      <w:pPr>
        <w:pStyle w:val="Style13"/>
        <w:spacing w:lineRule="auto" w:line="360"/>
        <w:ind w:end="851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מצוא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בעתיד</w:t>
      </w:r>
      <w:r>
        <w:rPr>
          <w:b/>
          <w:bCs/>
          <w:rtl w:val="true"/>
        </w:rPr>
        <w:t xml:space="preserve">. </w:t>
      </w:r>
    </w:p>
    <w:p>
      <w:pPr>
        <w:pStyle w:val="Style13"/>
        <w:spacing w:lineRule="auto" w:line="360"/>
        <w:ind w:end="851"/>
        <w:jc w:val="both"/>
        <w:rPr>
          <w:b/>
          <w:bCs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צבירת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פוליטית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עדתית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אידיאולוגית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קבוצות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יריבות</w:t>
      </w:r>
      <w:r>
        <w:rPr>
          <w:b/>
          <w:bCs/>
          <w:rtl w:val="true"/>
        </w:rPr>
        <w:t xml:space="preserve">. </w:t>
      </w:r>
    </w:p>
    <w:p>
      <w:pPr>
        <w:pStyle w:val="Style13"/>
        <w:spacing w:lineRule="auto" w:line="360"/>
        <w:ind w:end="851"/>
        <w:jc w:val="both"/>
        <w:rPr>
          <w:b/>
          <w:bCs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חמולה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אליהם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משתייך</w:t>
      </w:r>
      <w:r>
        <w:rPr>
          <w:b/>
          <w:bCs/>
          <w:rtl w:val="true"/>
        </w:rPr>
        <w:t xml:space="preserve">. </w:t>
      </w:r>
    </w:p>
    <w:p>
      <w:pPr>
        <w:pStyle w:val="Style13"/>
        <w:spacing w:lineRule="auto" w:line="360"/>
        <w:ind w:end="851"/>
        <w:jc w:val="both"/>
        <w:rPr>
          <w:b/>
          <w:bCs/>
        </w:rPr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ספורט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שעשוע</w:t>
      </w:r>
      <w:r>
        <w:rPr>
          <w:b/>
          <w:bCs/>
          <w:rtl w:val="true"/>
        </w:rPr>
        <w:t xml:space="preserve">. </w:t>
      </w:r>
    </w:p>
    <w:p>
      <w:pPr>
        <w:pStyle w:val="Style13"/>
        <w:spacing w:lineRule="auto" w:line="360"/>
        <w:ind w:end="851"/>
        <w:jc w:val="both"/>
        <w:rPr>
          <w:b/>
          <w:bCs/>
        </w:rPr>
      </w:pP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כאספן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כאלה</w:t>
      </w:r>
      <w:r>
        <w:rPr>
          <w:b/>
          <w:bCs/>
          <w:rtl w:val="true"/>
        </w:rPr>
        <w:t xml:space="preserve">. </w:t>
      </w:r>
    </w:p>
    <w:p>
      <w:pPr>
        <w:pStyle w:val="Style13"/>
        <w:spacing w:lineRule="auto" w:line="360"/>
        <w:ind w:end="851"/>
        <w:jc w:val="both"/>
        <w:rPr>
          <w:b/>
          <w:bCs/>
        </w:rPr>
      </w:pP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שפג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מלחדש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בעתו</w:t>
      </w:r>
      <w:r>
        <w:rPr>
          <w:b/>
          <w:bCs/>
          <w:rtl w:val="true"/>
        </w:rPr>
        <w:t xml:space="preserve">. </w:t>
      </w:r>
    </w:p>
    <w:p>
      <w:pPr>
        <w:pStyle w:val="Style13"/>
        <w:spacing w:lineRule="auto" w:line="360"/>
        <w:ind w:end="851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3"/>
        <w:spacing w:lineRule="auto" w:line="360"/>
        <w:ind w:end="851"/>
        <w:jc w:val="both"/>
        <w:rPr>
          <w:b/>
          <w:bCs/>
        </w:rPr>
      </w:pPr>
      <w:r>
        <w:rPr>
          <w:b/>
          <w:b/>
          <w:bCs/>
          <w:rtl w:val="true"/>
        </w:rPr>
        <w:t>אמנם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מסמרות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בנדון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מנחה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המבוצעות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המנויות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בסוגים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לדרגה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להצדיק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המתאימים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ההליכים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מאידך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גיסא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המנויים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בסוגים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דלעיל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/>
          <w:bCs/>
          <w:rtl w:val="true"/>
        </w:rPr>
        <w:t xml:space="preserve">ענישה בגין החזקת נשק </w:t>
      </w:r>
      <w:r>
        <w:rPr>
          <w:rtl w:val="true"/>
        </w:rPr>
        <w:t>חייבת לשקף את פוטנציאל הסכנה ואת זרע הפורענות</w:t>
      </w:r>
      <w:r>
        <w:rPr>
          <w:rtl w:val="true"/>
        </w:rPr>
        <w:t xml:space="preserve">, </w:t>
      </w:r>
      <w:r>
        <w:rPr>
          <w:rtl w:val="true"/>
        </w:rPr>
        <w:t>הטמון בעבירות אלה ואין לראות בהן עבירות של מה בכך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אין ספק כי החזקת נשק</w:t>
      </w:r>
      <w:r>
        <w:rPr>
          <w:rtl w:val="true"/>
        </w:rPr>
        <w:t xml:space="preserve">, </w:t>
      </w:r>
      <w:r>
        <w:rPr>
          <w:rtl w:val="true"/>
        </w:rPr>
        <w:t>פוגעת בביטחון המדינה ובביטחון הציבור וכל מי שעיניו בראשו מבין שמטרת רכישת נשק</w:t>
      </w:r>
      <w:r>
        <w:rPr>
          <w:rtl w:val="true"/>
        </w:rPr>
        <w:t xml:space="preserve">, </w:t>
      </w:r>
      <w:r>
        <w:rPr>
          <w:rtl w:val="true"/>
        </w:rPr>
        <w:t>החזקתו</w:t>
      </w:r>
      <w:r>
        <w:rPr>
          <w:rtl w:val="true"/>
        </w:rPr>
        <w:t xml:space="preserve">, </w:t>
      </w:r>
      <w:r>
        <w:rPr>
          <w:rtl w:val="true"/>
        </w:rPr>
        <w:t>הובלתו או סחר בו</w:t>
      </w:r>
      <w:r>
        <w:rPr>
          <w:rtl w:val="true"/>
        </w:rPr>
        <w:t xml:space="preserve">, </w:t>
      </w:r>
      <w:r>
        <w:rPr>
          <w:rtl w:val="true"/>
        </w:rPr>
        <w:t>בעיקר בהתחשב בטיב הנשק ובסוגו</w:t>
      </w:r>
      <w:r>
        <w:rPr>
          <w:rtl w:val="true"/>
        </w:rPr>
        <w:t xml:space="preserve">, </w:t>
      </w:r>
      <w:r>
        <w:rPr>
          <w:rtl w:val="true"/>
        </w:rPr>
        <w:t xml:space="preserve">אינה </w:t>
      </w:r>
      <w:r>
        <w:rPr>
          <w:rtl w:val="true"/>
        </w:rPr>
        <w:t>יכולה להיות תמימה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עדים אנו בתקופה זו למעשי פשע חמורים  המבוצעים נגד אזרחים תמימים</w:t>
      </w:r>
      <w:r>
        <w:rPr>
          <w:rtl w:val="true"/>
        </w:rPr>
        <w:t xml:space="preserve">, 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עבריינים</w:t>
      </w:r>
      <w:r>
        <w:rPr>
          <w:rtl w:val="true"/>
        </w:rPr>
        <w:t xml:space="preserve">, </w:t>
      </w:r>
      <w:r>
        <w:rPr>
          <w:rtl w:val="true"/>
        </w:rPr>
        <w:t>תוך שימוש בנשק</w:t>
      </w:r>
      <w:r>
        <w:rPr>
          <w:rtl w:val="true"/>
        </w:rPr>
        <w:t xml:space="preserve">, </w:t>
      </w:r>
      <w:r>
        <w:rPr>
          <w:rtl w:val="true"/>
        </w:rPr>
        <w:t>ללא הבחנה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בתקופה זו</w:t>
      </w:r>
      <w:r>
        <w:rPr>
          <w:rtl w:val="true"/>
        </w:rPr>
        <w:t xml:space="preserve">, </w:t>
      </w:r>
      <w:r>
        <w:rPr>
          <w:rtl w:val="true"/>
        </w:rPr>
        <w:t xml:space="preserve">בה </w:t>
      </w:r>
      <w:r>
        <w:rPr>
          <w:rtl w:val="true"/>
        </w:rPr>
        <w:t>הטרור והפשיעה שולטים ברחובות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יש להילחם בעבירות הנשק העלולות לפגוע בביטחון המדינה ובביטחון הציבור</w:t>
      </w:r>
      <w:r>
        <w:rPr>
          <w:rtl w:val="true"/>
        </w:rPr>
        <w:t xml:space="preserve">, </w:t>
      </w:r>
      <w:r>
        <w:rPr>
          <w:rtl w:val="true"/>
        </w:rPr>
        <w:t>וזאת באמצעות ענישה הולמת ומרתיעה</w:t>
      </w:r>
      <w:r>
        <w:rPr>
          <w:rtl w:val="true"/>
        </w:rPr>
        <w:t xml:space="preserve">, </w:t>
      </w:r>
      <w:r>
        <w:rPr>
          <w:rtl w:val="true"/>
        </w:rPr>
        <w:t>ויש לפעול למען חיזוק אמון הציבור במערכת אכיפת החוק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עמד על כך ביהמ</w:t>
      </w:r>
      <w:r>
        <w:rPr>
          <w:rtl w:val="true"/>
        </w:rPr>
        <w:t>"</w:t>
      </w:r>
      <w:r>
        <w:rPr>
          <w:rtl w:val="true"/>
        </w:rPr>
        <w:t>ש העליון עוד לפני למעלה מעשור</w:t>
      </w:r>
      <w:r>
        <w:rPr>
          <w:rtl w:val="true"/>
        </w:rPr>
        <w:t>: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3"/>
        <w:spacing w:lineRule="auto" w:line="360"/>
        <w:ind w:end="851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מהעובדה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נפוצה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שתחדור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הידיעה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שביודעין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לרשותו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מכאיב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ומוגדר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Style13"/>
        <w:spacing w:lineRule="auto" w:line="360"/>
        <w:ind w:end="851"/>
        <w:jc w:val="both"/>
        <w:rPr/>
      </w:pP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910/85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איברהים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קונדוס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86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670</w:t>
      </w:r>
      <w:r>
        <w:rPr>
          <w:rtl w:val="true"/>
        </w:rPr>
        <w:t>."</w:t>
      </w:r>
    </w:p>
    <w:p>
      <w:pPr>
        <w:pStyle w:val="Normal"/>
        <w:ind w:end="0"/>
        <w:jc w:val="start"/>
        <w:rPr/>
      </w:pPr>
      <w:r>
        <w:rPr>
          <w:rtl w:val="true"/>
        </w:rPr>
        <w:t>ועוד על רמת הענישה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פ </w:t>
      </w:r>
      <w:r>
        <w:rPr>
          <w:b/>
          <w:bCs/>
        </w:rPr>
        <w:t>1332/04</w:t>
      </w:r>
      <w:r>
        <w:rPr>
          <w:b/>
          <w:bCs/>
          <w:rtl w:val="true"/>
        </w:rPr>
        <w:t xml:space="preserve"> -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יצחק רפאל פס ואח</w:t>
      </w:r>
      <w:r>
        <w:rPr>
          <w:b/>
          <w:bCs/>
          <w:rtl w:val="true"/>
        </w:rPr>
        <w:t xml:space="preserve">' .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 xml:space="preserve">על </w:t>
      </w:r>
      <w:r>
        <w:rPr/>
        <w:t>2004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228</w:t>
      </w:r>
      <w:r>
        <w:rPr>
          <w:rtl w:val="true"/>
        </w:rPr>
        <w:t xml:space="preserve"> ,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230</w:t>
      </w:r>
      <w:r>
        <w:rPr>
          <w:rtl w:val="true"/>
        </w:rPr>
        <w:t xml:space="preserve"> </w:t>
      </w:r>
      <w:r>
        <w:rPr>
          <w:rtl w:val="true"/>
        </w:rPr>
        <w:t>אומר בית המשפט העליון</w:t>
      </w:r>
      <w:r>
        <w:rPr>
          <w:rtl w:val="true"/>
        </w:rPr>
        <w:t>: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גם אם נכון הדבר כי עד כה רמת הענישה בעבירות של החזקת נשק אינה גבוהה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הרי שהמציאות השוררת היום בארץ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 xml:space="preserve">זמינותו של נשק חם ורב עוצמה שיש עמו פוטנציאל להסלמה באלימות העבריינית והאידיאולוגית כאחד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 xml:space="preserve">מחייבים מתן ביטוי עונשי הולם והחמרה ברמת הענישה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השוו</w:t>
      </w:r>
      <w:r>
        <w:rPr>
          <w:b/>
          <w:bCs/>
          <w:rtl w:val="true"/>
        </w:rPr>
        <w:t xml:space="preserve">: </w:t>
      </w:r>
      <w:hyperlink r:id="rId16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11448/03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דיב גרבאן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טרם פורסם</w:t>
      </w:r>
      <w:r>
        <w:rPr>
          <w:b/>
          <w:bCs/>
          <w:rtl w:val="true"/>
        </w:rPr>
        <w:t xml:space="preserve">); </w:t>
      </w:r>
      <w:hyperlink r:id="rId17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5318/03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סלע עמר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טרם פורסם</w:t>
      </w:r>
      <w:r>
        <w:rPr>
          <w:b/>
          <w:bCs/>
          <w:rtl w:val="true"/>
        </w:rPr>
        <w:t>))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לאחר ששקלתי את כל הנסיבות</w:t>
      </w:r>
      <w:r>
        <w:rPr>
          <w:rtl w:val="true"/>
        </w:rPr>
        <w:t xml:space="preserve">, </w:t>
      </w:r>
      <w:r>
        <w:rPr>
          <w:rtl w:val="true"/>
        </w:rPr>
        <w:t>לרבות מצבו האישי המשפחתי הטראגי של הנאשם</w:t>
      </w:r>
      <w:r>
        <w:rPr>
          <w:rtl w:val="true"/>
        </w:rPr>
        <w:t xml:space="preserve">, </w:t>
      </w:r>
      <w:r>
        <w:rPr>
          <w:rtl w:val="true"/>
        </w:rPr>
        <w:t>ועברו הנקי</w:t>
      </w:r>
      <w:r>
        <w:rPr>
          <w:rtl w:val="true"/>
        </w:rPr>
        <w:t xml:space="preserve">, </w:t>
      </w:r>
      <w:r>
        <w:rPr>
          <w:rtl w:val="true"/>
        </w:rPr>
        <w:t>מצד אחד ולעומת זאת</w:t>
      </w:r>
      <w:r>
        <w:rPr>
          <w:rtl w:val="true"/>
        </w:rPr>
        <w:t xml:space="preserve">, </w:t>
      </w:r>
      <w:r>
        <w:rPr>
          <w:rtl w:val="true"/>
        </w:rPr>
        <w:t xml:space="preserve">החזקת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אקדחים ותחמושת לאקדחים אלה</w:t>
      </w:r>
      <w:r>
        <w:rPr>
          <w:rtl w:val="true"/>
        </w:rPr>
        <w:t xml:space="preserve">, </w:t>
      </w:r>
      <w:r>
        <w:rPr>
          <w:rtl w:val="true"/>
        </w:rPr>
        <w:t>כאשר אלה זמינים</w:t>
      </w:r>
      <w:r>
        <w:rPr>
          <w:rtl w:val="true"/>
        </w:rPr>
        <w:t xml:space="preserve">, </w:t>
      </w:r>
      <w:r>
        <w:rPr>
          <w:rtl w:val="true"/>
        </w:rPr>
        <w:t xml:space="preserve">אם למי שימצא אותם באקראי במקום מחבואם ואם לשימוש מצד אותו חאלד כיאל </w:t>
      </w:r>
      <w:r>
        <w:rPr>
          <w:rtl w:val="true"/>
        </w:rPr>
        <w:t>(</w:t>
      </w:r>
      <w:r>
        <w:rPr>
          <w:rtl w:val="true"/>
        </w:rPr>
        <w:t>או כל אדם אחר</w:t>
      </w:r>
      <w:r>
        <w:rPr>
          <w:rtl w:val="true"/>
        </w:rPr>
        <w:t xml:space="preserve">), </w:t>
      </w:r>
      <w:r>
        <w:rPr>
          <w:rtl w:val="true"/>
        </w:rPr>
        <w:t>וכן כי מדובר בשתי עבירות המתייחסות לשלושת האקדחים האמורים לעיל</w:t>
      </w:r>
      <w:r>
        <w:rPr>
          <w:rtl w:val="true"/>
        </w:rPr>
        <w:t xml:space="preserve">, </w:t>
      </w:r>
      <w:r>
        <w:rPr>
          <w:rtl w:val="true"/>
        </w:rPr>
        <w:t>אני סבור כי אין מנוס אלא לגזור על הנאשם עונש של מאסר בפועל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לא אחמיר בעונשו של הנאשם כפי שחומרת העבירה מחייבת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אני דן את הנאשם לעונש כדלקמן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>*</w:t>
        <w:tab/>
      </w:r>
      <w:r>
        <w:rPr>
          <w:rtl w:val="true"/>
        </w:rPr>
        <w:t xml:space="preserve">מאסר לתקופה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>*</w:t>
        <w:tab/>
      </w:r>
      <w:r>
        <w:rPr>
          <w:rtl w:val="true"/>
        </w:rPr>
        <w:t xml:space="preserve">מאסר על תנאי לתקופה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והתנאי הוא כי הנאשם לא יעבור בתקופה זאת עבירה שהורשע עליה בתיק זה ויורשע עליה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>*</w:t>
        <w:tab/>
      </w:r>
      <w:r>
        <w:rPr>
          <w:rtl w:val="true"/>
        </w:rPr>
        <w:t>כלי הנשק יוחזרו לבעלים</w:t>
      </w:r>
      <w:r>
        <w:rPr>
          <w:rtl w:val="true"/>
        </w:rPr>
        <w:t xml:space="preserve">, </w:t>
      </w:r>
      <w:r>
        <w:rPr>
          <w:rtl w:val="true"/>
        </w:rPr>
        <w:t>כמפורט בפרוטוקול ביהמ</w:t>
      </w:r>
      <w:r>
        <w:rPr>
          <w:rtl w:val="true"/>
        </w:rPr>
        <w:t>"</w:t>
      </w:r>
      <w:r>
        <w:rPr>
          <w:rtl w:val="true"/>
        </w:rPr>
        <w:t xml:space="preserve">ש מיום </w:t>
      </w:r>
      <w:r>
        <w:rPr/>
        <w:t>5.7.05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firstLine="720" w:end="0"/>
        <w:jc w:val="start"/>
        <w:rPr/>
      </w:pPr>
      <w:r>
        <w:rPr>
          <w:rtl w:val="true"/>
        </w:rPr>
        <w:t xml:space="preserve">הנאשם רשאי לערער על פסק  הדין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/>
          <w:bCs/>
          <w:rtl w:val="true"/>
        </w:rPr>
        <w:t>ניתן והודע היום</w:t>
      </w:r>
      <w:r>
        <w:rPr>
          <w:b/>
          <w:bCs/>
          <w:rtl w:val="true"/>
        </w:rPr>
        <w:t xml:space="preserve">, </w:t>
      </w:r>
      <w:r>
        <w:rPr>
          <w:b/>
          <w:bCs/>
          <w:rtl w:val="true"/>
        </w:rPr>
        <w:fldChar w:fldCharType="begin"/>
      </w:r>
      <w:r>
        <w:rPr>
          <w:rtl w:val="true"/>
          <w:b/>
          <w:b/>
          <w:bCs/>
        </w:rPr>
        <w:instrText xml:space="preserve"> DATE \@"dd\/MM\/yy" </w:instrText>
      </w:r>
      <w:r>
        <w:rPr>
          <w:rtl w:val="true"/>
          <w:b/>
          <w:b/>
          <w:bCs/>
        </w:rPr>
        <w:fldChar w:fldCharType="separate"/>
      </w:r>
      <w:r>
        <w:rPr>
          <w:rtl w:val="true"/>
          <w:b/>
          <w:b/>
          <w:bCs/>
        </w:rPr>
        <w:t>08/04/25</w:t>
      </w:r>
      <w:r>
        <w:rPr>
          <w:rtl w:val="true"/>
          <w:b/>
          <w:b/>
          <w:bCs/>
        </w:rPr>
        <w:fldChar w:fldCharType="end"/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בנוכחות 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המאשימה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 והסניגור</w:t>
      </w:r>
      <w:r>
        <w:rPr>
          <w:b/>
          <w:bCs/>
          <w:rtl w:val="true"/>
        </w:rPr>
        <w:t xml:space="preserve">. </w:t>
      </w:r>
    </w:p>
    <w:p>
      <w:pPr>
        <w:pStyle w:val="Style14"/>
        <w:ind w:end="0"/>
        <w:jc w:val="start"/>
        <w:rPr>
          <w:b/>
          <w:bCs w:val="false"/>
        </w:rPr>
      </w:pPr>
      <w:r>
        <w:rPr>
          <w:b/>
          <w:bCs w:val="false"/>
          <w:rtl w:val="true"/>
        </w:rPr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>
          <w:cantSplit w:val="true"/>
        </w:trPr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1"/>
              <w:spacing w:lineRule="auto" w:line="240" w:before="240" w:after="60"/>
              <w:ind w:end="0"/>
              <w:jc w:val="center"/>
              <w:rPr>
                <w:u w:val="none"/>
              </w:rPr>
            </w:pPr>
            <w:r>
              <w:rPr>
                <w:u w:val="none"/>
                <w:rtl w:val="true"/>
              </w:rPr>
              <w:t>ר</w:t>
            </w:r>
            <w:r>
              <w:rPr>
                <w:u w:val="none"/>
                <w:rtl w:val="true"/>
              </w:rPr>
              <w:t>.</w:t>
            </w:r>
            <w:r>
              <w:rPr>
                <w:u w:val="none"/>
                <w:rtl w:val="true"/>
              </w:rPr>
              <w:t>ש</w:t>
            </w:r>
            <w:r>
              <w:rPr>
                <w:u w:val="none"/>
                <w:rtl w:val="true"/>
              </w:rPr>
              <w:t xml:space="preserve">. </w:t>
            </w:r>
            <w:r>
              <w:rPr>
                <w:u w:val="none"/>
                <w:rtl w:val="true"/>
              </w:rPr>
              <w:t>צמח</w:t>
            </w:r>
            <w:r>
              <w:rPr>
                <w:u w:val="none"/>
                <w:rtl w:val="true"/>
              </w:rPr>
              <w:t xml:space="preserve">, </w:t>
            </w:r>
            <w:r>
              <w:rPr>
                <w:u w:val="none"/>
                <w:rtl w:val="true"/>
              </w:rPr>
              <w:t>שופט</w:t>
            </w:r>
          </w:p>
          <w:p>
            <w:pPr>
              <w:pStyle w:val="1"/>
              <w:spacing w:lineRule="auto" w:line="240" w:before="240" w:after="60"/>
              <w:ind w:end="0"/>
              <w:jc w:val="center"/>
              <w:rPr>
                <w:u w:val="none"/>
              </w:rPr>
            </w:pPr>
            <w:r>
              <w:rPr>
                <w:u w:val="none"/>
                <w:rtl w:val="true"/>
              </w:rPr>
              <w:t>סגן</w:t>
            </w:r>
            <w:r>
              <w:rPr>
                <w:rFonts w:eastAsia="Arial" w:cs="Arial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  <w:t>אבקש עיכוב ביצוע על מנת שהנאשם יוכל להתארגן</w:t>
      </w:r>
      <w:r>
        <w:rPr>
          <w:rtl w:val="true"/>
        </w:rPr>
        <w:t xml:space="preserve">, </w:t>
      </w:r>
      <w:r>
        <w:rPr>
          <w:rtl w:val="true"/>
        </w:rPr>
        <w:t>לשקול ערעור</w:t>
      </w:r>
      <w:r>
        <w:rPr>
          <w:rtl w:val="true"/>
        </w:rPr>
        <w:t xml:space="preserve">. </w:t>
      </w:r>
      <w:r>
        <w:rPr>
          <w:rtl w:val="true"/>
        </w:rPr>
        <w:t>לנאשם ילדה חולת סרטן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  <w:t>לא נתנגד לעיכוב ביצוע לתקופה קצרה של מספר ימים לשיקול דעת בית המשפט</w:t>
      </w:r>
      <w:r>
        <w:rPr>
          <w:rtl w:val="true"/>
        </w:rPr>
        <w:t xml:space="preserve">. </w:t>
      </w:r>
      <w:r>
        <w:rPr>
          <w:rtl w:val="true"/>
        </w:rPr>
        <w:t>נבקש הפקדה עצמית וערבות צד ג</w:t>
      </w:r>
      <w:r>
        <w:rPr>
          <w:rtl w:val="true"/>
        </w:rPr>
        <w:t xml:space="preserve">'. </w:t>
      </w:r>
      <w:r>
        <w:rPr>
          <w:rtl w:val="true"/>
        </w:rPr>
        <w:t>אבקש צו עיכוב יציאה מהארץ והפקדת דרכון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Heading"/>
        <w:ind w:end="0"/>
        <w:jc w:val="center"/>
        <w:rPr/>
      </w:pPr>
      <w:bookmarkStart w:id="22" w:name="Decision1"/>
      <w:bookmarkEnd w:id="22"/>
      <w:r>
        <w:rPr>
          <w:rtl w:val="true"/>
        </w:rPr>
        <w:t>החלטה</w:t>
      </w:r>
    </w:p>
    <w:p>
      <w:pPr>
        <w:pStyle w:val="Heading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לבקשת הסניגורית ואי התנגדות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 xml:space="preserve">הריני מעכב ביצוע גזר הדין עד ליום </w:t>
      </w:r>
      <w:r>
        <w:rPr/>
        <w:t>27.10.05</w:t>
      </w:r>
      <w:r>
        <w:rPr>
          <w:rtl w:val="true"/>
        </w:rPr>
        <w:t xml:space="preserve"> </w:t>
      </w:r>
      <w:r>
        <w:rPr>
          <w:rtl w:val="true"/>
        </w:rPr>
        <w:t xml:space="preserve">שעה </w:t>
      </w:r>
      <w:r>
        <w:rPr/>
        <w:t>08.00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על הנאשם להתייצב במועד הנ</w:t>
      </w:r>
      <w:r>
        <w:rPr>
          <w:rtl w:val="true"/>
        </w:rPr>
        <w:t>"</w:t>
      </w:r>
      <w:r>
        <w:rPr>
          <w:rtl w:val="true"/>
        </w:rPr>
        <w:t>ל בתחנת המשטרה בעכו לתחילת ריצוי עונשו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מוצא בזה צו עיכוב יציאה מן הארץ נגד הנאשם</w:t>
      </w:r>
      <w:r>
        <w:rPr>
          <w:rtl w:val="true"/>
        </w:rPr>
        <w:t xml:space="preserve">. </w:t>
      </w:r>
      <w:r>
        <w:rPr>
          <w:rtl w:val="true"/>
        </w:rPr>
        <w:t xml:space="preserve">על הנאשם להפקיד את דרכונו </w:t>
      </w:r>
      <w:r>
        <w:rPr>
          <w:rtl w:val="true"/>
        </w:rPr>
        <w:t>(</w:t>
      </w:r>
      <w:r>
        <w:rPr>
          <w:rtl w:val="true"/>
        </w:rPr>
        <w:t>אם יש לו דרכון</w:t>
      </w:r>
      <w:r>
        <w:rPr>
          <w:rtl w:val="true"/>
        </w:rPr>
        <w:t xml:space="preserve">) </w:t>
      </w:r>
      <w:r>
        <w:rPr>
          <w:rtl w:val="true"/>
        </w:rPr>
        <w:t>בתחנת המשטרה בעכו</w:t>
      </w:r>
      <w:r>
        <w:rPr>
          <w:rtl w:val="true"/>
        </w:rPr>
        <w:t xml:space="preserve">, </w:t>
      </w:r>
      <w:r>
        <w:rPr>
          <w:rtl w:val="true"/>
        </w:rPr>
        <w:t xml:space="preserve">תוך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הנאשם ישוחרר בערבות עצמית </w:t>
      </w:r>
      <w:r>
        <w:rPr>
          <w:rtl w:val="true"/>
        </w:rPr>
        <w:t xml:space="preserve">+ </w:t>
      </w:r>
      <w:r>
        <w:rPr>
          <w:rtl w:val="true"/>
        </w:rPr>
        <w:t>ערבות צד ג</w:t>
      </w:r>
      <w:r>
        <w:rPr>
          <w:rtl w:val="true"/>
        </w:rPr>
        <w:t xml:space="preserve">' </w:t>
      </w:r>
      <w:r>
        <w:rPr>
          <w:rtl w:val="true"/>
        </w:rPr>
        <w:t xml:space="preserve">בסך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כל אחד להבטחת התייצבותו לתחילת ריצוי עונשו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הערבות תיחתם תוך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ניתנה היום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באלול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ה </w:t>
      </w:r>
      <w:r>
        <w:rPr>
          <w:b/>
          <w:bCs/>
          <w:rtl w:val="true"/>
        </w:rPr>
        <w:t>(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בספטמבר </w:t>
      </w:r>
      <w:r>
        <w:rPr>
          <w:b/>
          <w:bCs/>
        </w:rPr>
        <w:t>2005</w:t>
      </w:r>
      <w:r>
        <w:rPr>
          <w:b/>
          <w:bCs/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ש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צמח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start"/>
        <w:rPr/>
      </w:pPr>
      <w:bookmarkStart w:id="23" w:name="Decision1"/>
      <w:bookmarkEnd w:id="23"/>
      <w:r>
        <w:rPr/>
        <w:t>002320/04</w:t>
      </w:r>
      <w:r>
        <w:rPr>
          <w:rtl w:val="true"/>
        </w:rPr>
        <w:t xml:space="preserve">פ  </w:t>
      </w:r>
      <w:r>
        <w:rPr/>
        <w:t>114</w:t>
      </w:r>
      <w:r>
        <w:rPr>
          <w:rtl w:val="true"/>
        </w:rPr>
        <w:t xml:space="preserve"> </w:t>
      </w:r>
      <w:r>
        <w:rPr>
          <w:rtl w:val="true"/>
        </w:rPr>
        <w:t>כרמית דותן</w:t>
      </w:r>
    </w:p>
    <w:p>
      <w:pPr>
        <w:pStyle w:val="Normal"/>
        <w:ind w:end="0"/>
        <w:jc w:val="start"/>
        <w:rPr>
          <w:lang w:eastAsia="en-US"/>
        </w:rPr>
      </w:pPr>
      <w:r>
        <w:rPr>
          <w:rtl w:val="true"/>
          <w:lang w:eastAsia="en-US"/>
        </w:rPr>
        <w:t>נוסח מסמך זה כפוף לשינויי ניסוח ועריכה</w:t>
      </w:r>
    </w:p>
    <w:sectPr>
      <w:headerReference w:type="default" r:id="rId18"/>
      <w:footerReference w:type="default" r:id="rId19"/>
      <w:type w:val="nextPage"/>
      <w:pgSz w:w="11906" w:h="16838"/>
      <w:pgMar w:left="1797" w:right="1797" w:gutter="0" w:header="709" w:top="1701" w:footer="709" w:bottom="1440"/>
      <w:pgNumType w:start="1" w:fmt="decimal"/>
      <w:formProt w:val="false"/>
      <w:textDirection w:val="lrTb"/>
      <w:rtlGutter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</w:rPr>
    </w:pPr>
    <w:r>
      <w:rPr>
        <w:rFonts w:cs="FrankRuehl"/>
        <w:rtl w:val="true"/>
      </w:rPr>
      <w:fldChar w:fldCharType="begin"/>
    </w:r>
    <w:r>
      <w:rPr>
        <w:rtl w:val="true"/>
        <w:rFonts w:cs="FrankRuehl"/>
      </w:rPr>
      <w:instrText xml:space="preserve"> PAGE </w:instrText>
    </w:r>
    <w:r>
      <w:rPr>
        <w:rtl w:val="true"/>
        <w:rFonts w:cs="FrankRuehl"/>
      </w:rPr>
      <w:fldChar w:fldCharType="separate"/>
    </w:r>
    <w:r>
      <w:rPr>
        <w:rtl w:val="true"/>
        <w:rFonts w:cs="FrankRuehl"/>
      </w:rPr>
      <w:t>5</w:t>
    </w:r>
    <w:r>
      <w:rPr>
        <w:rtl w:val="true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/Users/liorb/Downloads/study2025-p2/s04002320.doc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עכו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2320/04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כיאל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גאזי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ind w:hanging="0" w:start="0" w:end="0"/>
      <w:jc w:val="center"/>
      <w:outlineLvl w:val="0"/>
    </w:pPr>
    <w:rPr>
      <w:rFonts w:cs="David"/>
      <w:b/>
      <w:bCs/>
      <w:sz w:val="32"/>
      <w:szCs w:val="32"/>
      <w:u w:val="single"/>
      <w:lang w:val="en-IL" w:eastAsia="en-I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star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360"/>
      <w:ind w:hanging="0" w:start="0" w:end="0"/>
      <w:jc w:val="center"/>
    </w:pPr>
    <w:rPr>
      <w:rFonts w:cs="David"/>
      <w:b/>
      <w:bCs/>
      <w:sz w:val="28"/>
      <w:szCs w:val="28"/>
      <w:u w:val="single"/>
      <w:lang w:val="en-IL" w:eastAsia="en-IL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ind w:hanging="0" w:start="0" w:end="0"/>
      <w:jc w:val="both"/>
    </w:pPr>
    <w:rPr>
      <w:rFonts w:cs="David"/>
      <w:sz w:val="20"/>
    </w:rPr>
  </w:style>
  <w:style w:type="paragraph" w:styleId="Style12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rFonts w:cs="David"/>
      <w:b/>
      <w:bCs/>
      <w:sz w:val="22"/>
    </w:rPr>
  </w:style>
  <w:style w:type="paragraph" w:styleId="Style13">
    <w:name w:val="ציטוט"/>
    <w:basedOn w:val="Normal"/>
    <w:qFormat/>
    <w:pPr>
      <w:overflowPunct w:val="false"/>
      <w:autoSpaceDE w:val="false"/>
      <w:ind w:hanging="0" w:start="851" w:end="851"/>
      <w:jc w:val="both"/>
      <w:textAlignment w:val="baseline"/>
    </w:pPr>
    <w:rPr>
      <w:rFonts w:cs="David"/>
      <w:lang w:val="en-IL" w:eastAsia="en-IL"/>
    </w:rPr>
  </w:style>
  <w:style w:type="paragraph" w:styleId="1">
    <w:name w:val="חתימה1"/>
    <w:basedOn w:val="Heading2"/>
    <w:qFormat/>
    <w:pPr>
      <w:numPr>
        <w:ilvl w:val="0"/>
        <w:numId w:val="0"/>
      </w:numPr>
      <w:suppressLineNumbers/>
      <w:spacing w:lineRule="auto" w:line="360"/>
      <w:ind w:hanging="0" w:start="0" w:end="0"/>
      <w:jc w:val="center"/>
      <w:outlineLvl w:val="9"/>
    </w:pPr>
    <w:rPr>
      <w:rFonts w:cs="David"/>
      <w:bCs w:val="false"/>
      <w:i w:val="false"/>
      <w:iCs w:val="false"/>
      <w:sz w:val="24"/>
      <w:szCs w:val="24"/>
      <w:u w:val="single"/>
    </w:rPr>
  </w:style>
  <w:style w:type="paragraph" w:styleId="Style14">
    <w:name w:val="החלטה"/>
    <w:basedOn w:val="Normal"/>
    <w:qFormat/>
    <w:pPr>
      <w:suppressLineNumbers/>
      <w:ind w:hanging="0" w:start="0" w:end="0"/>
      <w:jc w:val="start"/>
    </w:pPr>
    <w:rPr>
      <w:rFonts w:cs="David"/>
      <w:bCs/>
      <w:sz w:val="20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7" TargetMode="External"/><Relationship Id="rId4" Type="http://schemas.openxmlformats.org/officeDocument/2006/relationships/hyperlink" Target="http://www.nevo.co.il/law/70301/38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58643" TargetMode="External"/><Relationship Id="rId11" Type="http://schemas.openxmlformats.org/officeDocument/2006/relationships/hyperlink" Target="http://www.nevo.co.il/case/17939098" TargetMode="External"/><Relationship Id="rId12" Type="http://schemas.openxmlformats.org/officeDocument/2006/relationships/hyperlink" Target="http://www.nevo.co.il/law/70301/37" TargetMode="External"/><Relationship Id="rId13" Type="http://schemas.openxmlformats.org/officeDocument/2006/relationships/hyperlink" Target="http://www.nevo.co.il/law/70301/38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17929065" TargetMode="External"/><Relationship Id="rId16" Type="http://schemas.openxmlformats.org/officeDocument/2006/relationships/hyperlink" Target="http://www.nevo.co.il/case/6180713" TargetMode="External"/><Relationship Id="rId17" Type="http://schemas.openxmlformats.org/officeDocument/2006/relationships/hyperlink" Target="http://www.nevo.co.il/case/6006233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2017-03-08T12:57:00Z</dcterms:created>
  <dc:creator> </dc:creator>
  <dc:description/>
  <cp:keywords/>
  <dc:language>en-IL</dc:language>
  <cp:lastModifiedBy>miri</cp:lastModifiedBy>
  <dcterms:modified xsi:type="dcterms:W3CDTF">2017-03-08T12:57:00Z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EE">
    <vt:lpwstr>כיאל גאזי</vt:lpwstr>
  </property>
  <property fmtid="{D5CDD505-2E9C-101B-9397-08002B2CF9AE}" pid="4" name="CASESLISTTMP1">
    <vt:lpwstr>258643;17939098;17929065;6180713;6006233</vt:lpwstr>
  </property>
  <property fmtid="{D5CDD505-2E9C-101B-9397-08002B2CF9AE}" pid="5" name="CITY">
    <vt:lpwstr>עכו</vt:lpwstr>
  </property>
  <property fmtid="{D5CDD505-2E9C-101B-9397-08002B2CF9AE}" pid="6" name="DATE">
    <vt:lpwstr>20050912</vt:lpwstr>
  </property>
  <property fmtid="{D5CDD505-2E9C-101B-9397-08002B2CF9AE}" pid="7" name="ISABSTRACT">
    <vt:lpwstr>Y</vt:lpwstr>
  </property>
  <property fmtid="{D5CDD505-2E9C-101B-9397-08002B2CF9AE}" pid="8" name="JUDGE">
    <vt:lpwstr>ר.ש. צמח</vt:lpwstr>
  </property>
  <property fmtid="{D5CDD505-2E9C-101B-9397-08002B2CF9AE}" pid="9" name="LAWLISTTMP1">
    <vt:lpwstr>70301/144.a:2;037;038</vt:lpwstr>
  </property>
  <property fmtid="{D5CDD505-2E9C-101B-9397-08002B2CF9AE}" pid="10" name="LAWYER">
    <vt:lpwstr>בן יעקב מירי;לוי-מלאך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2320</vt:lpwstr>
  </property>
  <property fmtid="{D5CDD505-2E9C-101B-9397-08002B2CF9AE}" pid="28" name="PROCYEAR">
    <vt:lpwstr>04</vt:lpwstr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VOLUME">
    <vt:lpwstr/>
  </property>
  <property fmtid="{D5CDD505-2E9C-101B-9397-08002B2CF9AE}" pid="32" name="WORDNUMPAGES">
    <vt:lpwstr>5</vt:lpwstr>
  </property>
</Properties>
</file>