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6"/>
        <w:gridCol w:w="443"/>
        <w:gridCol w:w="1071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2908-07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נעימי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עווד נעימי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לימור אדמון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מוטי לוי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ציבורי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הנאשם הורשע בעבירה של </w:t>
      </w:r>
      <w:r>
        <w:rPr>
          <w:sz w:val="28"/>
          <w:sz w:val="28"/>
          <w:rtl w:val="true"/>
        </w:rPr>
        <w:t xml:space="preserve">החזקת נשק לפי סעיף </w:t>
      </w:r>
      <w:r>
        <w:rPr>
          <w:sz w:val="28"/>
        </w:rPr>
        <w:t>144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סיפא 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יובהר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מעובדות כל האישום המתוקן עולה כי הנאשם החזיק שלא כדין כדור אחד של 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היינו בתחמושת לנשק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 הודה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</w:t>
      </w:r>
      <w:r>
        <w:rPr>
          <w:sz w:val="28"/>
          <w:sz w:val="28"/>
          <w:rtl w:val="true"/>
        </w:rPr>
        <w:t>אמור לעיל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בהתחשב בתיקונו של 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המייחס כיום לנאשם החזקה כאמור בכדור אחד בלבד של אקדח ובהתחשב בדברי הסניגור בפניי</w:t>
      </w:r>
      <w:r>
        <w:rPr>
          <w:sz w:val="28"/>
          <w:rtl w:val="true"/>
        </w:rPr>
        <w:t xml:space="preserve">,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למאסר על תנאי לתקופה של 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שנתיים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כי לא יעבור עבירה</w:t>
      </w:r>
      <w:r>
        <w:rPr>
          <w:sz w:val="28"/>
          <w:sz w:val="28"/>
          <w:rtl w:val="true"/>
        </w:rPr>
        <w:t xml:space="preserve"> לפי סעיף </w:t>
      </w:r>
      <w:r>
        <w:rPr>
          <w:sz w:val="28"/>
        </w:rPr>
        <w:t>144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rtl w:val="true"/>
        </w:rPr>
        <w:t xml:space="preserve">- </w:t>
      </w:r>
      <w:r>
        <w:rPr>
          <w:sz w:val="28"/>
        </w:rPr>
        <w:t>1977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ותוך מתן הדעת לטעמים 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לתשלום קנס בסך </w:t>
      </w:r>
      <w:r>
        <w:rPr>
          <w:sz w:val="28"/>
        </w:rPr>
        <w:t>300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 xml:space="preserve">₪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או  </w:t>
      </w:r>
      <w:r>
        <w:rPr>
          <w:sz w:val="28"/>
        </w:rPr>
        <w:t>3</w:t>
      </w:r>
      <w:r>
        <w:rPr>
          <w:sz w:val="28"/>
          <w:rtl w:val="true"/>
        </w:rPr>
        <w:t xml:space="preserve">    </w:t>
      </w:r>
      <w:r>
        <w:rPr>
          <w:sz w:val="28"/>
          <w:sz w:val="28"/>
          <w:rtl w:val="true"/>
        </w:rPr>
        <w:t>ימי מאסר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הקנס ישולם עד </w:t>
      </w:r>
      <w:r>
        <w:rPr>
          <w:sz w:val="28"/>
        </w:rPr>
        <w:t>13.01.09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ניתן בזה צו להשמדת המוצג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כדורי נשק</w:t>
      </w:r>
      <w:r>
        <w:rPr>
          <w:sz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54678313-2908/07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ט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ו חשון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13/11/2008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/Users/liorb/Downloads/study2025-p2/SH-07-2908-A.doc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2908-07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עווד נעימי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908-07"/>
    <w:docVar w:name="caseId" w:val="3064538"/>
    <w:docVar w:name="deriveClass" w:val="NGCS.Protocol.BL.Client.ProtocolBLClientCriminal"/>
    <w:docVar w:name="firstPageNumber" w:val="3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60995"/>
    <w:docVar w:name="releaseSign" w:val="0"/>
    <w:docVar w:name="sittingDateTime" w:val="13/11/2008 11:00     "/>
    <w:docVar w:name="sittingId" w:val="1220855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2008-11-24T16:11:00Z</dcterms:created>
  <dc:creator> </dc:creator>
  <dc:description/>
  <cp:keywords/>
  <dc:language>en-IL</dc:language>
  <cp:lastModifiedBy>hofit</cp:lastModifiedBy>
  <cp:lastPrinted>2008-11-13T11:29:00Z</cp:lastPrinted>
  <dcterms:modified xsi:type="dcterms:W3CDTF">2008-11-25T08:48:00Z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עווד נעימי</vt:lpwstr>
  </property>
  <property fmtid="{D5CDD505-2E9C-101B-9397-08002B2CF9AE}" pid="4" name="CITY">
    <vt:lpwstr>עכו</vt:lpwstr>
  </property>
  <property fmtid="{D5CDD505-2E9C-101B-9397-08002B2CF9AE}" pid="5" name="DATE">
    <vt:lpwstr>20081113</vt:lpwstr>
  </property>
  <property fmtid="{D5CDD505-2E9C-101B-9397-08002B2CF9AE}" pid="6" name="DELEMATA">
    <vt:lpwstr/>
  </property>
  <property fmtid="{D5CDD505-2E9C-101B-9397-08002B2CF9AE}" pid="7" name="JUDGE">
    <vt:lpwstr>רונית בש</vt:lpwstr>
  </property>
  <property fmtid="{D5CDD505-2E9C-101B-9397-08002B2CF9AE}" pid="8" name="LAWYER">
    <vt:lpwstr>לימור אדמון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2908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2908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380020081113</vt:lpwstr>
  </property>
  <property fmtid="{D5CDD505-2E9C-101B-9397-08002B2CF9AE}" pid="34" name="TYPE_N_DATE">
    <vt:lpwstr>38020081113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