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605" cy="146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  <w:bookmarkStart w:id="0" w:name="LastJudge"/>
                            <w:bookmarkStart w:id="1" w:name="LastJudge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.15pt;height:11.55pt;mso-wrap-distance-left:0pt;mso-wrap-distance-right:0pt;mso-wrap-distance-top:0pt;mso-wrap-distance-bottom:0pt;margin-top:0.05pt;mso-position-vertical-relative:text;margin-left:207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ind w:end="0"/>
                        <w:jc w:val="both"/>
                        <w:rPr/>
                      </w:pPr>
                      <w:r>
                        <w:rPr>
                          <w:rtl w:val="true"/>
                        </w:rPr>
                      </w:r>
                      <w:bookmarkStart w:id="2" w:name="LastJudge"/>
                      <w:bookmarkStart w:id="3" w:name="LastJudge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531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לתעבורה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פתח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תקוה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000132/03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אטליא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וישקין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02/01/2005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תחנת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פתח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תקוה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>
          <w:trHeight w:val="374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גבריאל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טאובר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לנהיגתו</w:t>
      </w:r>
      <w:bookmarkStart w:id="11" w:name="ABSTRACT_END"/>
      <w:bookmarkEnd w:id="11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ברותחין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נכווה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rtl w:val="true"/>
          </w:rPr>
          <w:t>תיק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color w:val="0000FF"/>
            <w:rtl w:val="true"/>
          </w:rPr>
          <w:t xml:space="preserve">' - </w:t>
        </w:r>
        <w:r>
          <w:rPr>
            <w:rStyle w:val="Hyperlink"/>
            <w:color w:val="0000FF"/>
          </w:rPr>
          <w:t>1738/01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tl w:val="true"/>
        </w:rPr>
        <w:t xml:space="preserve">, </w:t>
      </w:r>
      <w:r>
        <w:rPr>
          <w:rtl w:val="true"/>
        </w:rPr>
        <w:t>תהנה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הישימון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מביאיני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27.10.03</w:t>
      </w:r>
      <w:r>
        <w:rPr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'- </w:t>
      </w:r>
      <w:r>
        <w:rPr/>
        <w:t>1562/98</w:t>
      </w:r>
      <w:r>
        <w:rPr>
          <w:rtl w:val="true"/>
        </w:rPr>
        <w:t xml:space="preserve">,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1562/98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  <w:r>
        <w:rPr>
          <w:rtl w:val="true"/>
        </w:rPr>
        <w:t>כשמתברר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tl w:val="true"/>
        </w:rPr>
        <w:t xml:space="preserve">"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, </w:t>
      </w:r>
      <w:r>
        <w:rPr>
          <w:rtl w:val="true"/>
        </w:rPr>
        <w:t>נזקיה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מאידך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כנימוק לקולא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הריני מתחשבת בהודאת הנאשם באשמה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כמו כן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לנגד עיני מכתב ההמלצה של מר גמרו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המעיד על הסיוע שנותן הנאשם לחלוקת מזון למשפחות נזקקות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כמו כן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לא אגזור קנס באשר הנאשם נשלח לריצוי מאסר בפועל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אף תקופת הפסילה תוטל מהיום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וזאת כדי לאפשר לנאשם פתיחת דף חדש בתולדות נהיגתו עם סיום ריצוי עונשו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לפיכך</w:t>
      </w:r>
      <w:r>
        <w:rPr>
          <w:rFonts w:cs="Arial" w:ascii="Arial" w:hAnsi="Arial"/>
          <w:b/>
          <w:bCs/>
          <w:sz w:val="24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cs="Arial" w:ascii="Arial" w:hAnsi="Arial"/>
          <w:b/>
          <w:bCs/>
          <w:sz w:val="24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4"/>
        </w:rPr>
        <w:t>1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 xml:space="preserve">הריני מורה על הפעלת עונש של </w:t>
      </w:r>
      <w:r>
        <w:rPr>
          <w:rFonts w:cs="Arial" w:ascii="Arial" w:hAnsi="Arial"/>
          <w:sz w:val="24"/>
        </w:rPr>
        <w:t>12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חודשי מאסר אשר נגזרו בפתח תקוה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</w:t>
      </w:r>
      <w:hyperlink r:id="rId3">
        <w:r>
          <w:rPr>
            <w:rStyle w:val="Hyperlink"/>
            <w:rFonts w:ascii="Arial" w:hAnsi="Arial" w:cs="Arial"/>
            <w:color w:val="0000FF"/>
            <w:sz w:val="24"/>
            <w:sz w:val="24"/>
            <w:rtl w:val="true"/>
          </w:rPr>
          <w:t>תיק</w:t>
        </w:r>
        <w:r>
          <w:rPr>
            <w:rStyle w:val="Hyperlink"/>
            <w:rFonts w:ascii="Arial" w:hAnsi="Arial" w:cs="Arial"/>
            <w:color w:val="0000FF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4"/>
          </w:rPr>
          <w:t>1738/01</w:t>
        </w:r>
        <w:r>
          <w:rPr>
            <w:rStyle w:val="Hyperlink"/>
            <w:rFonts w:cs="Arial" w:ascii="Arial" w:hAnsi="Arial"/>
            <w:color w:val="0000FF"/>
            <w:sz w:val="24"/>
            <w:rtl w:val="true"/>
          </w:rPr>
          <w:t xml:space="preserve"> 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ביום </w:t>
      </w:r>
      <w:r>
        <w:rPr>
          <w:rFonts w:cs="Arial" w:ascii="Arial" w:hAnsi="Arial"/>
          <w:sz w:val="24"/>
        </w:rPr>
        <w:t>25.2.02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אשר ירוצו בפועל ובמצטבר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 xml:space="preserve">הריני גוזרת על הנאשם </w:t>
      </w:r>
      <w:r>
        <w:rPr>
          <w:rFonts w:cs="Arial" w:ascii="Arial" w:hAnsi="Arial"/>
          <w:sz w:val="24"/>
        </w:rPr>
        <w:t>18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חודשי מאסר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מתוכם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בפועל ובמצטבר לעונש המאסר אשר הופעל לעיל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והיתרה על תנאי שבמשך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שנים לא יעבור העבירות בהן הורשע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 xml:space="preserve">הריני מורה על פסילת רישיון נהיגת הנאשם למשך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שנים ומניינן מהיום 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u w:val="single"/>
          <w:rtl w:val="true"/>
        </w:rPr>
        <w:t>ללא הפקדה</w:t>
      </w:r>
      <w:r>
        <w:rPr>
          <w:rFonts w:cs="Arial" w:ascii="Arial" w:hAnsi="Arial"/>
          <w:b/>
          <w:bCs/>
          <w:i/>
          <w:iCs/>
          <w:sz w:val="24"/>
          <w:u w:val="single"/>
          <w:rtl w:val="true"/>
        </w:rPr>
        <w:t xml:space="preserve">. </w:t>
      </w:r>
      <w:r>
        <w:br w:type="page"/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i/>
          <w:i/>
          <w:iCs/>
          <w:sz w:val="24"/>
          <w:u w:val="single"/>
        </w:rPr>
      </w:pPr>
      <w:r>
        <w:rPr>
          <w:rFonts w:cs="Arial" w:ascii="Arial" w:hAnsi="Arial"/>
          <w:b/>
          <w:bCs/>
          <w:i/>
          <w:iCs/>
          <w:sz w:val="24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4"/>
        </w:rPr>
        <w:t>4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 xml:space="preserve">הריני מורה על הפעלת </w:t>
      </w:r>
      <w:r>
        <w:rPr>
          <w:rFonts w:cs="Arial" w:ascii="Arial" w:hAnsi="Arial"/>
          <w:sz w:val="24"/>
        </w:rPr>
        <w:t>5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חודשי פסילה אשר הוטלו על תנאי בבית משפט בפתח תקווה ביום </w:t>
      </w:r>
      <w:r>
        <w:rPr>
          <w:rFonts w:cs="Arial" w:ascii="Arial" w:hAnsi="Arial"/>
          <w:sz w:val="24"/>
        </w:rPr>
        <w:t>25.2.02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ב</w:t>
      </w:r>
      <w:hyperlink r:id="rId4">
        <w:r>
          <w:rPr>
            <w:rStyle w:val="Hyperlink"/>
            <w:rFonts w:ascii="Arial" w:hAnsi="Arial" w:cs="Arial"/>
            <w:color w:val="0000FF"/>
            <w:sz w:val="24"/>
            <w:sz w:val="24"/>
            <w:rtl w:val="true"/>
          </w:rPr>
          <w:t>תיק</w:t>
        </w:r>
        <w:r>
          <w:rPr>
            <w:rStyle w:val="Hyperlink"/>
            <w:rFonts w:ascii="Arial" w:hAnsi="Arial" w:cs="Arial"/>
            <w:color w:val="0000FF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4"/>
          </w:rPr>
          <w:t>1738/01</w:t>
        </w:r>
      </w:hyperlink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הפסילה תרוצה באופן חופף לפסילה שהוטלה לעיל ומניינה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מהיום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  <w:u w:val="single"/>
        </w:rPr>
      </w:pPr>
      <w:r>
        <w:rPr>
          <w:b/>
          <w:b/>
          <w:bCs/>
          <w:sz w:val="30"/>
          <w:sz w:val="30"/>
          <w:u w:val="single"/>
          <w:rtl w:val="true"/>
        </w:rPr>
        <w:t>זכות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ערעור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תוך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Cs/>
          <w:sz w:val="30"/>
          <w:u w:val="single"/>
        </w:rPr>
        <w:t>45</w:t>
      </w:r>
      <w:r>
        <w:rPr>
          <w:b/>
          <w:bCs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יום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מהיום</w:t>
      </w:r>
      <w:r>
        <w:rPr>
          <w:b/>
          <w:bCs/>
          <w:sz w:val="30"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  <w:rtl w:val="true"/>
        </w:rPr>
      </w:r>
      <w:bookmarkStart w:id="12" w:name="Decision2"/>
      <w:bookmarkStart w:id="13" w:name="Decision2"/>
      <w:bookmarkEnd w:id="13"/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ניתנה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היום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כ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א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בטבת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תשס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  <w:rtl w:val="true"/>
        </w:rPr>
        <w:t>(</w:t>
      </w:r>
      <w:r>
        <w:rPr>
          <w:b/>
          <w:bCs/>
          <w:sz w:val="30"/>
        </w:rPr>
        <w:t>2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בינואר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2005</w:t>
      </w:r>
      <w:r>
        <w:rPr>
          <w:b/>
          <w:bCs/>
          <w:sz w:val="30"/>
          <w:rtl w:val="true"/>
        </w:rPr>
        <w:t xml:space="preserve">), </w:t>
      </w:r>
      <w:r>
        <w:rPr>
          <w:b/>
          <w:b/>
          <w:bCs/>
          <w:sz w:val="30"/>
          <w:sz w:val="30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551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א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וישקין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/>
      </w:pPr>
      <w:bookmarkStart w:id="14" w:name="Decision2"/>
      <w:bookmarkStart w:id="15" w:name="Decision3"/>
      <w:bookmarkEnd w:id="14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לעניין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התמשכות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ההליכים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התייחסתי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בגוף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גזר</w:t>
      </w:r>
      <w:r>
        <w:rPr>
          <w:b/>
          <w:bCs/>
          <w:sz w:val="30"/>
          <w:rtl w:val="true"/>
        </w:rPr>
        <w:t>-</w:t>
      </w:r>
      <w:r>
        <w:rPr>
          <w:b/>
          <w:b/>
          <w:bCs/>
          <w:sz w:val="30"/>
          <w:sz w:val="30"/>
          <w:rtl w:val="true"/>
        </w:rPr>
        <w:t>הדין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הריני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מורה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כי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יאסר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עכשיו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היה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ויופקדו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התנאים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המצטברים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הבאים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ישוחרר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ויעוכב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ריצוי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עונש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המאסר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למשך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21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יום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  <w:u w:val="single"/>
        </w:rPr>
      </w:pPr>
      <w:r>
        <w:rPr>
          <w:b/>
          <w:b/>
          <w:bCs/>
          <w:sz w:val="30"/>
          <w:sz w:val="30"/>
          <w:u w:val="single"/>
          <w:rtl w:val="true"/>
        </w:rPr>
        <w:t>להלן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תנאי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השחרור</w:t>
      </w:r>
      <w:r>
        <w:rPr>
          <w:b/>
          <w:bCs/>
          <w:sz w:val="30"/>
          <w:u w:val="single"/>
          <w:rtl w:val="true"/>
        </w:rPr>
        <w:t>:</w:t>
      </w:r>
    </w:p>
    <w:p>
      <w:pPr>
        <w:pStyle w:val="Normal"/>
        <w:suppressLineNumbers/>
        <w:ind w:end="0"/>
        <w:jc w:val="both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</w:rPr>
        <w:t>1</w:t>
      </w:r>
      <w:r>
        <w:rPr>
          <w:b/>
          <w:bCs/>
          <w:sz w:val="30"/>
          <w:rtl w:val="true"/>
        </w:rPr>
        <w:t>.</w:t>
        <w:tab/>
      </w:r>
      <w:r>
        <w:rPr>
          <w:b/>
          <w:b/>
          <w:bCs/>
          <w:sz w:val="30"/>
          <w:sz w:val="30"/>
          <w:rtl w:val="true"/>
        </w:rPr>
        <w:t>הפקדת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מזסומן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בסך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7,000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ש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ח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</w:rPr>
        <w:t>2</w:t>
      </w:r>
      <w:r>
        <w:rPr>
          <w:b/>
          <w:bCs/>
          <w:sz w:val="30"/>
          <w:rtl w:val="true"/>
        </w:rPr>
        <w:t>.</w:t>
        <w:tab/>
      </w:r>
      <w:r>
        <w:rPr>
          <w:b/>
          <w:b/>
          <w:bCs/>
          <w:sz w:val="30"/>
          <w:sz w:val="30"/>
          <w:rtl w:val="true"/>
        </w:rPr>
        <w:t>חתימת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ערב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צד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ג</w:t>
      </w:r>
      <w:r>
        <w:rPr>
          <w:b/>
          <w:bCs/>
          <w:sz w:val="30"/>
          <w:rtl w:val="true"/>
        </w:rPr>
        <w:t xml:space="preserve">', </w:t>
      </w:r>
      <w:r>
        <w:rPr>
          <w:b/>
          <w:b/>
          <w:bCs/>
          <w:sz w:val="30"/>
          <w:sz w:val="30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סך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10,000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ש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ח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</w:rPr>
        <w:t>3</w:t>
      </w:r>
      <w:r>
        <w:rPr>
          <w:b/>
          <w:bCs/>
          <w:sz w:val="30"/>
          <w:rtl w:val="true"/>
        </w:rPr>
        <w:t>.</w:t>
        <w:tab/>
      </w:r>
      <w:r>
        <w:rPr>
          <w:b/>
          <w:b/>
          <w:bCs/>
          <w:sz w:val="30"/>
          <w:sz w:val="30"/>
          <w:rtl w:val="true"/>
        </w:rPr>
        <w:t>חתימת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ערבות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עצמיתף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ע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ס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10,000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ש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ח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במקביל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מוצא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צו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עיכוב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יציאת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מן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הארץ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עד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לסיום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ריצוי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עונש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המאסר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אשר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הוטל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עליו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/>
          <w:bCs/>
          <w:sz w:val="30"/>
          <w:sz w:val="30"/>
          <w:rtl w:val="true"/>
        </w:rPr>
        <w:t>ניתנה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היום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כ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א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בטבת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תשס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  <w:rtl w:val="true"/>
        </w:rPr>
        <w:t>(</w:t>
      </w:r>
      <w:r>
        <w:rPr>
          <w:b/>
          <w:bCs/>
          <w:sz w:val="30"/>
        </w:rPr>
        <w:t>2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בינואר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2005</w:t>
      </w:r>
      <w:r>
        <w:rPr>
          <w:b/>
          <w:bCs/>
          <w:sz w:val="30"/>
          <w:rtl w:val="true"/>
        </w:rPr>
        <w:t xml:space="preserve">), </w:t>
      </w:r>
      <w:r>
        <w:rPr>
          <w:b/>
          <w:b/>
          <w:bCs/>
          <w:sz w:val="30"/>
          <w:sz w:val="30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551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א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וישקין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18"/>
          <w:szCs w:val="18"/>
        </w:rPr>
      </w:pPr>
      <w:r>
        <w:rPr>
          <w:b/>
          <w:b/>
          <w:bCs/>
          <w:sz w:val="18"/>
          <w:sz w:val="18"/>
          <w:szCs w:val="18"/>
          <w:rtl w:val="true"/>
        </w:rPr>
        <w:t>קלדנית</w:t>
      </w:r>
      <w:r>
        <w:rPr>
          <w:b/>
          <w:bCs/>
          <w:sz w:val="18"/>
          <w:szCs w:val="18"/>
          <w:rtl w:val="true"/>
        </w:rPr>
        <w:t xml:space="preserve">: </w:t>
      </w:r>
      <w:r>
        <w:rPr>
          <w:b/>
          <w:b/>
          <w:bCs/>
          <w:sz w:val="18"/>
          <w:sz w:val="18"/>
          <w:szCs w:val="18"/>
          <w:rtl w:val="true"/>
        </w:rPr>
        <w:t>ליאת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bookmarkEnd w:id="15"/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/Users/liorb/Downloads/study2025-p2/st03000132-552.doc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שלוחת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תחנת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פתח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תקוה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שיטרית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גבריאל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rFonts w:ascii="Arial" w:hAnsi="Arial" w:cs="Arial"/>
      <w:b/>
      <w:bCs/>
      <w:sz w:val="3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rFonts w:ascii="Arial" w:hAnsi="Arial" w:cs="Arial"/>
      <w:b/>
      <w:bCs/>
      <w:sz w:val="30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923429" TargetMode="External"/><Relationship Id="rId3" Type="http://schemas.openxmlformats.org/officeDocument/2006/relationships/hyperlink" Target="http://www.nevo.co.il/case/923429" TargetMode="External"/><Relationship Id="rId4" Type="http://schemas.openxmlformats.org/officeDocument/2006/relationships/hyperlink" Target="http://www.nevo.co.il/case/923429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2017-03-22T12:39:00Z</dcterms:created>
  <dc:creator> </dc:creator>
  <dc:description/>
  <cp:keywords/>
  <dc:language>en-IL</dc:language>
  <cp:lastModifiedBy>Tali-a</cp:lastModifiedBy>
  <cp:lastPrinted>2005-01-02T12:10:00Z</cp:lastPrinted>
  <dcterms:modified xsi:type="dcterms:W3CDTF">2017-03-22T12:39:00Z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שלוחת תביעות תחנת פתח תקוה</vt:lpwstr>
  </property>
  <property fmtid="{D5CDD505-2E9C-101B-9397-08002B2CF9AE}" pid="3" name="APPELLEE">
    <vt:lpwstr>בן שיטרית גבריאל</vt:lpwstr>
  </property>
  <property fmtid="{D5CDD505-2E9C-101B-9397-08002B2CF9AE}" pid="4" name="CASESLISTTMP1">
    <vt:lpwstr>923429:3</vt:lpwstr>
  </property>
  <property fmtid="{D5CDD505-2E9C-101B-9397-08002B2CF9AE}" pid="5" name="CITY">
    <vt:lpwstr>פ"ת</vt:lpwstr>
  </property>
  <property fmtid="{D5CDD505-2E9C-101B-9397-08002B2CF9AE}" pid="6" name="DATE">
    <vt:lpwstr>20050102</vt:lpwstr>
  </property>
  <property fmtid="{D5CDD505-2E9C-101B-9397-08002B2CF9AE}" pid="7" name="ISABSTRACT">
    <vt:lpwstr>Y</vt:lpwstr>
  </property>
  <property fmtid="{D5CDD505-2E9C-101B-9397-08002B2CF9AE}" pid="8" name="JUDGE">
    <vt:lpwstr>אטליא וישקין</vt:lpwstr>
  </property>
  <property fmtid="{D5CDD505-2E9C-101B-9397-08002B2CF9AE}" pid="9" name="LAWYER">
    <vt:lpwstr>גפני;טאובר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132</vt:lpwstr>
  </property>
  <property fmtid="{D5CDD505-2E9C-101B-9397-08002B2CF9AE}" pid="27" name="PROCYEAR">
    <vt:lpwstr>03</vt:lpwstr>
  </property>
  <property fmtid="{D5CDD505-2E9C-101B-9397-08002B2CF9AE}" pid="28" name="PSAKDIN">
    <vt:lpwstr>גזר-דין</vt:lpwstr>
  </property>
  <property fmtid="{D5CDD505-2E9C-101B-9397-08002B2CF9AE}" pid="29" name="TYPE">
    <vt:lpwstr>7</vt:lpwstr>
  </property>
  <property fmtid="{D5CDD505-2E9C-101B-9397-08002B2CF9AE}" pid="30" name="VOLUME">
    <vt:lpwstr/>
  </property>
  <property fmtid="{D5CDD505-2E9C-101B-9397-08002B2CF9AE}" pid="31" name="WORDNUMPAGES">
    <vt:lpwstr>6</vt:lpwstr>
  </property>
</Properties>
</file>