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>
          <w:rFonts w:ascii="Arial" w:hAnsi="Arial" w:cs="Arial"/>
          <w:b/>
          <w:bCs/>
          <w:sz w:val="18"/>
          <w:szCs w:val="20"/>
        </w:rPr>
      </w:pPr>
      <w:r>
        <w:rPr>
          <w:rFonts w:ascii="Arial" w:hAnsi="Arial" w:cs="Arial"/>
          <w:b/>
          <w:b/>
          <w:bCs/>
          <w:sz w:val="18"/>
          <w:sz w:val="18"/>
          <w:szCs w:val="20"/>
          <w:rtl w:val="true"/>
        </w:rPr>
        <w:t>בתי משפט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2"/>
        <w:gridCol w:w="822"/>
        <w:gridCol w:w="2092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pacing w:val="110"/>
                <w:sz w:val="36"/>
                <w:szCs w:val="36"/>
              </w:rPr>
            </w:pPr>
            <w:r>
              <w:rPr>
                <w:rFonts w:cs="Arial" w:ascii="Arial" w:hAnsi="Arial"/>
                <w:b/>
                <w:bCs/>
                <w:spacing w:val="110"/>
                <w:sz w:val="36"/>
                <w:szCs w:val="36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בית משפט השלום פתח</w:t>
            </w:r>
            <w:r>
              <w:rPr>
                <w:rFonts w:cs="Arial" w:ascii="Arial" w:hAnsi="Arial"/>
                <w:sz w:val="24"/>
                <w:rtl w:val="true"/>
              </w:rPr>
              <w:t>-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תקוה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 xml:space="preserve">פ  </w:t>
            </w:r>
            <w:r>
              <w:rPr>
                <w:rFonts w:cs="Arial" w:ascii="Arial" w:hAnsi="Arial"/>
                <w:sz w:val="24"/>
              </w:rPr>
              <w:t>2132/06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 xml:space="preserve">פ  </w:t>
            </w:r>
            <w:r>
              <w:rPr>
                <w:rFonts w:cs="Arial" w:ascii="Arial" w:hAnsi="Arial"/>
                <w:sz w:val="24"/>
              </w:rPr>
              <w:t>2131/06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 xml:space="preserve">פ  </w:t>
            </w:r>
            <w:r>
              <w:rPr>
                <w:rFonts w:cs="Arial" w:ascii="Arial" w:hAnsi="Arial"/>
                <w:sz w:val="24"/>
              </w:rPr>
              <w:t>3620/06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השופטת דבורה עטר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t>06/08/2006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24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605" w:type="dxa"/>
        <w:jc w:val="start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89"/>
        <w:gridCol w:w="1727"/>
        <w:gridCol w:w="3007"/>
        <w:gridCol w:w="2382"/>
      </w:tblGrid>
      <w:tr>
        <w:trPr/>
        <w:tc>
          <w:tcPr>
            <w:tcW w:w="148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734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מדינת ישראל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38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489" w:type="dxa"/>
            <w:tcBorders/>
          </w:tcPr>
          <w:p>
            <w:pPr>
              <w:pStyle w:val="Heading5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4"/>
                <w:u w:val="none"/>
              </w:rPr>
            </w:pPr>
            <w:r>
              <w:rPr>
                <w:rFonts w:cs="David"/>
                <w:b/>
                <w:bCs/>
                <w:sz w:val="24"/>
                <w:u w:val="none"/>
                <w:rtl w:val="true"/>
              </w:rPr>
            </w:r>
          </w:p>
        </w:tc>
        <w:tc>
          <w:tcPr>
            <w:tcW w:w="172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4"/>
                <w:u w:val="none"/>
              </w:rPr>
            </w:pPr>
            <w:r>
              <w:rPr>
                <w:rFonts w:cs="Arial" w:ascii="Arial" w:hAnsi="Arial"/>
                <w:b/>
                <w:bCs/>
                <w:sz w:val="24"/>
                <w:u w:val="none"/>
                <w:rtl w:val="true"/>
              </w:rPr>
            </w:r>
          </w:p>
        </w:tc>
        <w:tc>
          <w:tcPr>
            <w:tcW w:w="300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  <w:tc>
          <w:tcPr>
            <w:tcW w:w="2382" w:type="dxa"/>
            <w:tcBorders/>
          </w:tcPr>
          <w:p>
            <w:pPr>
              <w:pStyle w:val="Heading4"/>
              <w:ind w:end="0"/>
              <w:jc w:val="both"/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8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4"/>
                <w:u w:val="none"/>
              </w:rPr>
            </w:pPr>
            <w:r>
              <w:rPr>
                <w:rFonts w:cs="Arial" w:ascii="Arial" w:hAnsi="Arial"/>
                <w:b/>
                <w:bCs/>
                <w:sz w:val="24"/>
                <w:u w:val="none"/>
                <w:rtl w:val="true"/>
              </w:rPr>
            </w:r>
          </w:p>
        </w:tc>
        <w:tc>
          <w:tcPr>
            <w:tcW w:w="4734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 ג ד</w:t>
            </w:r>
          </w:p>
        </w:tc>
        <w:tc>
          <w:tcPr>
            <w:tcW w:w="238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48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4"/>
                <w:szCs w:val="26"/>
              </w:rPr>
            </w:pPr>
            <w:r>
              <w:rPr>
                <w:rFonts w:cs="Arial" w:ascii="Arial" w:hAnsi="Arial"/>
                <w:b/>
                <w:bCs/>
                <w:sz w:val="24"/>
                <w:szCs w:val="26"/>
                <w:rtl w:val="true"/>
              </w:rPr>
            </w:r>
          </w:p>
        </w:tc>
        <w:tc>
          <w:tcPr>
            <w:tcW w:w="4734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מורסיי בדוי</w:t>
            </w:r>
          </w:p>
        </w:tc>
        <w:tc>
          <w:tcPr>
            <w:tcW w:w="238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48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4"/>
                <w:szCs w:val="26"/>
              </w:rPr>
            </w:pPr>
            <w:r>
              <w:rPr>
                <w:rFonts w:cs="Arial" w:ascii="Arial" w:hAnsi="Arial"/>
                <w:b/>
                <w:bCs/>
                <w:sz w:val="24"/>
                <w:szCs w:val="26"/>
                <w:rtl w:val="true"/>
              </w:rPr>
            </w:r>
          </w:p>
        </w:tc>
        <w:tc>
          <w:tcPr>
            <w:tcW w:w="172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4"/>
                <w:szCs w:val="26"/>
              </w:rPr>
            </w:pPr>
            <w:r>
              <w:rPr>
                <w:rFonts w:cs="Arial" w:ascii="Arial" w:hAnsi="Arial"/>
                <w:b/>
                <w:bCs/>
                <w:sz w:val="24"/>
                <w:szCs w:val="26"/>
                <w:rtl w:val="true"/>
              </w:rPr>
            </w:r>
          </w:p>
        </w:tc>
        <w:tc>
          <w:tcPr>
            <w:tcW w:w="300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  <w:tc>
          <w:tcPr>
            <w:tcW w:w="2382" w:type="dxa"/>
            <w:tcBorders/>
          </w:tcPr>
          <w:p>
            <w:pPr>
              <w:pStyle w:val="Heading7"/>
              <w:ind w:end="0"/>
              <w:jc w:val="both"/>
              <w:rPr>
                <w:rFonts w:cs="David"/>
                <w:u w:val="none"/>
              </w:rPr>
            </w:pPr>
            <w:r>
              <w:rPr>
                <w:rFonts w:cs="David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start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  <w:tab/>
        <w:tab/>
      </w:r>
    </w:p>
    <w:tbl>
      <w:tblPr>
        <w:bidiVisual w:val="true"/>
        <w:tblW w:w="8520" w:type="dxa"/>
        <w:jc w:val="start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0"/>
        <w:gridCol w:w="7190"/>
      </w:tblGrid>
      <w:tr>
        <w:trPr/>
        <w:tc>
          <w:tcPr>
            <w:tcW w:w="1330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  <w:szCs w:val="26"/>
              </w:rPr>
            </w:pPr>
            <w:bookmarkStart w:id="3" w:name="FirstLawyer"/>
            <w:bookmarkEnd w:id="3"/>
            <w:r>
              <w:rPr>
                <w:rFonts w:ascii="Arial" w:hAnsi="Arial" w:cs="Arial"/>
                <w:b/>
                <w:b/>
                <w:bCs/>
                <w:szCs w:val="26"/>
                <w:rtl w:val="true"/>
              </w:rPr>
              <w:t>נוכחים</w:t>
            </w:r>
            <w:r>
              <w:rPr>
                <w:rFonts w:cs="Arial" w:ascii="Arial" w:hAnsi="Arial"/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7190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המאשימה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גינדין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 הובא על ידי הליווי ובא כוחו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ד </w:t>
            </w:r>
            <w:r>
              <w:rPr>
                <w:b/>
                <w:b/>
                <w:bCs/>
                <w:rtl w:val="true"/>
              </w:rPr>
              <w:t>במברגר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firstLine="720" w:start="2880" w:end="0"/>
        <w:jc w:val="both"/>
        <w:rPr>
          <w:rFonts w:ascii="Arial" w:hAnsi="Arial" w:cs="Arial"/>
          <w:b/>
          <w:bCs/>
          <w:sz w:val="34"/>
          <w:szCs w:val="32"/>
        </w:rPr>
      </w:pPr>
      <w:r>
        <w:rPr>
          <w:rFonts w:cs="Arial" w:ascii="Arial" w:hAnsi="Arial"/>
          <w:b/>
          <w:bCs/>
          <w:sz w:val="34"/>
          <w:szCs w:val="32"/>
          <w:rtl w:val="true"/>
        </w:rPr>
      </w:r>
    </w:p>
    <w:p>
      <w:pPr>
        <w:pStyle w:val="Normal"/>
        <w:ind w:firstLine="720" w:start="2160" w:end="0"/>
        <w:jc w:val="center"/>
        <w:rPr>
          <w:rFonts w:ascii="Arial" w:hAnsi="Arial" w:cs="Arial"/>
          <w:b/>
          <w:bCs/>
          <w:sz w:val="34"/>
          <w:szCs w:val="32"/>
          <w:u w:val="single"/>
        </w:rPr>
      </w:pPr>
      <w:bookmarkStart w:id="4" w:name="LastJudge"/>
      <w:bookmarkStart w:id="5" w:name="PsakDin"/>
      <w:bookmarkEnd w:id="4"/>
      <w:bookmarkEnd w:id="5"/>
      <w:r>
        <w:rPr>
          <w:rFonts w:ascii="Arial" w:hAnsi="Arial" w:cs="Arial"/>
          <w:b/>
          <w:b/>
          <w:bCs/>
          <w:sz w:val="34"/>
          <w:sz w:val="34"/>
          <w:szCs w:val="32"/>
          <w:u w:val="single"/>
          <w:rtl w:val="true"/>
        </w:rPr>
        <w:t>גזר דין</w:t>
      </w:r>
    </w:p>
    <w:p>
      <w:pPr>
        <w:pStyle w:val="Normal"/>
        <w:ind w:firstLine="720" w:start="2160" w:end="0"/>
        <w:jc w:val="both"/>
        <w:rPr>
          <w:rFonts w:ascii="Arial" w:hAnsi="Arial" w:cs="Arial"/>
          <w:b/>
          <w:bCs/>
          <w:sz w:val="34"/>
          <w:szCs w:val="32"/>
          <w:u w:val="single"/>
        </w:rPr>
      </w:pPr>
      <w:r>
        <w:rPr>
          <w:rFonts w:cs="Arial" w:ascii="Arial" w:hAnsi="Arial"/>
          <w:b/>
          <w:bCs/>
          <w:sz w:val="34"/>
          <w:szCs w:val="32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BodyTextIndent"/>
        <w:ind w:end="0"/>
        <w:jc w:val="both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עסקינן בשלושה כתבי אישום שהוגשו כנגד הנאשם ונדונו במאוחד</w:t>
      </w:r>
      <w:r>
        <w:rPr>
          <w:b/>
          <w:bCs/>
          <w:rtl w:val="true"/>
        </w:rPr>
        <w:t xml:space="preserve">. </w:t>
      </w:r>
      <w:bookmarkStart w:id="8" w:name="ABSTRACT_START"/>
      <w:bookmarkEnd w:id="8"/>
      <w:r>
        <w:rPr>
          <w:b/>
          <w:b/>
          <w:bCs/>
          <w:rtl w:val="true"/>
        </w:rPr>
        <w:t xml:space="preserve">בעקבות עריכת הסדר טיעון תוקנו כתבי האישום והנאשם הורשע על פי הודייתו בביצוע עבירות של תקיפת שוטר שביצע בסוף שנת </w:t>
      </w:r>
      <w:r>
        <w:rPr>
          <w:b/>
          <w:bCs/>
        </w:rPr>
        <w:t>2003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ותקיפה חבלנית של אשתו</w:t>
      </w:r>
      <w:bookmarkStart w:id="9" w:name="ABSTRACT_END"/>
      <w:bookmarkEnd w:id="9"/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 xml:space="preserve">") </w:t>
      </w:r>
      <w:r>
        <w:rPr>
          <w:b/>
          <w:b/>
          <w:bCs/>
          <w:rtl w:val="true"/>
        </w:rPr>
        <w:t xml:space="preserve">בשלוש הזדמנויות במהלך החודשים ספטמבר ואוקטובר שנת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וביום </w:t>
      </w:r>
      <w:r>
        <w:rPr>
          <w:b/>
          <w:bCs/>
        </w:rPr>
        <w:t>29.1.06</w:t>
      </w:r>
      <w:r>
        <w:rPr>
          <w:b/>
          <w:bCs/>
          <w:rtl w:val="true"/>
        </w:rPr>
        <w:t xml:space="preserve"> .</w:t>
      </w:r>
    </w:p>
    <w:p>
      <w:pPr>
        <w:pStyle w:val="BodyTextIndent"/>
        <w:ind w:hanging="0"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end="0"/>
        <w:jc w:val="both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טרם הוחל בשמיעת הראיות הודיעו הצדדים 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 על עריכת הסדר טיעון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 פיו הוסכם כי יעתרו כל צד על פי ראות עיניו לעונש של מאסר לתקופה שלא תפחת מ</w:t>
      </w:r>
      <w:r>
        <w:rPr>
          <w:b/>
          <w:bCs/>
          <w:rtl w:val="true"/>
        </w:rPr>
        <w:t>-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חודשים ולא תעלה על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 להשתת מאסרים מותנים והתחייבות</w:t>
      </w:r>
      <w:r>
        <w:rPr>
          <w:b/>
          <w:bCs/>
          <w:rtl w:val="true"/>
        </w:rPr>
        <w:t>.</w:t>
      </w:r>
    </w:p>
    <w:p>
      <w:pPr>
        <w:pStyle w:val="BodyTextIndent"/>
        <w:ind w:hanging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end="0"/>
        <w:jc w:val="both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המאשימה הדגישה את חומרת מעשי הנאשם ואת עברו הפלילי הכולל שתי הרשעות בעבירות אלימות לרבות בתוך התא המשפחתי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כמו כן את העובדה כי מאסר מותנה אשר הוטל עליו והוארך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פקע שלושה ימים לפני המועד בו תקף את השוטר וכן כי חלק מהמעשים בוצעו בעוד הנאשם שוהה במעצר בית</w:t>
      </w:r>
      <w:r>
        <w:rPr>
          <w:b/>
          <w:bCs/>
          <w:rtl w:val="true"/>
        </w:rPr>
        <w:t>.</w:t>
      </w:r>
    </w:p>
    <w:p>
      <w:pPr>
        <w:pStyle w:val="BodyTextIndent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hanging="0" w:end="0"/>
        <w:jc w:val="both"/>
        <w:rPr>
          <w:b/>
          <w:bCs/>
        </w:rPr>
      </w:pPr>
      <w:r>
        <w:rPr>
          <w:b/>
          <w:b/>
          <w:bCs/>
          <w:rtl w:val="true"/>
        </w:rPr>
        <w:t>מנגד הדגישה את נימוקי עריכת הסדר הטיעון לרבות החסכון בהעדת המתלוננת ובזמן שיפוטי יקר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 עתרה לבית המשפט לכבדו ואולם ברף העליון שלו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לנוכח סך כל הנסיבות לחומרה</w:t>
      </w:r>
      <w:r>
        <w:rPr>
          <w:b/>
          <w:bCs/>
          <w:rtl w:val="true"/>
        </w:rPr>
        <w:t>.</w:t>
      </w:r>
    </w:p>
    <w:p>
      <w:pPr>
        <w:pStyle w:val="BodyTextIndent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end="0"/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בא כח הנאשם הדגיש את נסיבותיו האישיות והמשפחתיות של הנאשם ואת העובדה כי מערכת היחסים עם המתלוננת השתפרה וזו הגיעה לבקרו באופן סדיר בבית המעצר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עוד ציין לקולא את הודיית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החיסכון בזמן השיפוטי ובצורך להעיד את המתלוננת ואת חלוף הזמן מאז ביצוע העבירות</w:t>
      </w:r>
      <w:r>
        <w:rPr>
          <w:b/>
          <w:bCs/>
          <w:rtl w:val="true"/>
        </w:rPr>
        <w:t>.</w:t>
      </w:r>
    </w:p>
    <w:p>
      <w:pPr>
        <w:pStyle w:val="BodyTextIndent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הוא עתר 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 לכבד את הסדר הטיעון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ואולם ברף התחתון ולהשית על הנאשם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</w:p>
    <w:p>
      <w:pPr>
        <w:pStyle w:val="BodyTextIndent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חודשי מאסר בלבד</w:t>
      </w:r>
      <w:r>
        <w:rPr>
          <w:b/>
          <w:bCs/>
          <w:rtl w:val="true"/>
        </w:rPr>
        <w:t>.</w:t>
      </w:r>
    </w:p>
    <w:p>
      <w:pPr>
        <w:pStyle w:val="BodyTextIndent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end="0"/>
        <w:jc w:val="both"/>
        <w:rPr>
          <w:b/>
          <w:bCs/>
        </w:rPr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הנאשם הינו יליד שנת </w:t>
      </w:r>
      <w:r>
        <w:rPr>
          <w:b/>
          <w:bCs/>
        </w:rPr>
        <w:t>1976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עיון בגליון הרשעותיו הקודמות מעלה כי הורשע בשנת </w:t>
      </w:r>
      <w:r>
        <w:rPr>
          <w:b/>
          <w:bCs/>
        </w:rPr>
        <w:t>1997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בגין ביצוע עבירת תקיפה ואיומים שביצע בשנת </w:t>
      </w:r>
      <w:r>
        <w:rPr>
          <w:b/>
          <w:bCs/>
        </w:rPr>
        <w:t>1996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והוטלה עליו ענישה הצופה פני עתיד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בגין ביצוע עבירת אלימות בתוך התא המשפחתי הוארך המאסר המותנה ביום </w:t>
      </w:r>
      <w:r>
        <w:rPr>
          <w:b/>
          <w:bCs/>
        </w:rPr>
        <w:t>27.12.01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 שנתיים נוספות ופקע טרם ביצוע העבירות נשוא תיקים אלה</w:t>
      </w:r>
      <w:r>
        <w:rPr>
          <w:b/>
          <w:bCs/>
          <w:rtl w:val="true"/>
        </w:rPr>
        <w:t>.</w:t>
      </w:r>
    </w:p>
    <w:p>
      <w:pPr>
        <w:pStyle w:val="BodyTextIndent"/>
        <w:ind w:hanging="0"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end="0"/>
        <w:jc w:val="both"/>
        <w:rPr>
          <w:b/>
          <w:bCs/>
        </w:rPr>
      </w:pPr>
      <w:r>
        <w:rPr>
          <w:b/>
          <w:bCs/>
        </w:rPr>
        <w:t>6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אין להכביר מילים על חומרת ביצוע עבירות אלימות בכלל ובתוך התא המשפחתי בפרט והצורך בהוקעת תופעה פסולה זו ומיגורה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בהשתת ענישה מחמירה ומשמעותית להתרתעת הפרט והכלל</w:t>
      </w:r>
      <w:r>
        <w:rPr>
          <w:b/>
          <w:bCs/>
          <w:rtl w:val="true"/>
        </w:rPr>
        <w:t xml:space="preserve">. </w:t>
      </w:r>
    </w:p>
    <w:p>
      <w:pPr>
        <w:pStyle w:val="BodyTextIndent"/>
        <w:ind w:hanging="0"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end="0"/>
        <w:jc w:val="both"/>
        <w:rPr>
          <w:b/>
          <w:bCs/>
        </w:rPr>
      </w:pPr>
      <w:r>
        <w:rPr>
          <w:b/>
          <w:bCs/>
        </w:rPr>
        <w:t>7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חומרה יתירה במעשי הנאשם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בלא מורא נקט באלימות כלפי שוטר ובעת שהגיע לבצע צו חיפוש דחפו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כמו כן נקט כלפי המתלוננת בלא רחם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במספר הזדמנויות שונות באלימות קשה ואכזרית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 תוך שימוש בסכין וגרימת חבלות</w:t>
      </w:r>
      <w:r>
        <w:rPr>
          <w:b/>
          <w:bCs/>
          <w:rtl w:val="true"/>
        </w:rPr>
        <w:t xml:space="preserve">. </w:t>
      </w:r>
    </w:p>
    <w:p>
      <w:pPr>
        <w:pStyle w:val="BodyTextIndent"/>
        <w:ind w:hanging="0" w:start="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end="0"/>
        <w:jc w:val="both"/>
        <w:rPr>
          <w:b/>
          <w:bCs/>
        </w:rPr>
      </w:pPr>
      <w:r>
        <w:rPr>
          <w:b/>
          <w:bCs/>
        </w:rPr>
        <w:t>8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מעשי הנאשם מחייבים ביתר שאת השתת ענישה משמעותית ומחמירה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בה בעת שהמדובר במי שדרך האלימות אינה זרה לו ולא השכיל לפרש נכונה את ההקלות להן זכה מעם בתי המשפט ושב על מעשיו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כמו כן לנוכח כך כי ביצע חלק מהמעשים בעודו שוהה במעצר בית ולנוכח המפורט בתסקיר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העדר לקיחת אחריות על מעשיו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הקושי להפנים את חומרתם וסיכוי להישנות העבירות לנוכח הקשיים  הכלכליים בהם שרויים בני הזוג ואשר היוו בסיס רקע להתרחשות העבירות</w:t>
      </w:r>
      <w:r>
        <w:rPr>
          <w:b/>
          <w:bCs/>
          <w:rtl w:val="true"/>
        </w:rPr>
        <w:t xml:space="preserve">. </w:t>
      </w:r>
    </w:p>
    <w:p>
      <w:pPr>
        <w:pStyle w:val="BodyTextIndent"/>
        <w:ind w:hanging="0" w:start="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end="0"/>
        <w:jc w:val="both"/>
        <w:rPr/>
      </w:pPr>
      <w:r>
        <w:rPr>
          <w:b/>
          <w:bCs/>
        </w:rPr>
        <w:t>9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תקופת מאסר של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 על פי הרף התחתון של הסדר הטיעון אינה עומדת בקנה מידה כלשהוא לחומרת מעשי הנאשם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אף הרף העליון עליו הוסכם מקל עם הנאשם באופן משמעותי ביותר והתלבטתי האם יש מקום לכבדו</w:t>
      </w:r>
      <w:r>
        <w:rPr>
          <w:b/>
          <w:bCs/>
          <w:rtl w:val="true"/>
        </w:rPr>
        <w:t>.</w:t>
      </w:r>
    </w:p>
    <w:p>
      <w:pPr>
        <w:pStyle w:val="BodyTextIndent"/>
        <w:ind w:hanging="0" w:start="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end="0"/>
        <w:jc w:val="both"/>
        <w:rPr/>
      </w:pPr>
      <w:r>
        <w:rPr>
          <w:b/>
          <w:bCs/>
          <w:lang w:eastAsia="en-US"/>
        </w:rPr>
        <w:t>10</w:t>
      </w:r>
      <w:r>
        <w:rPr>
          <w:b/>
          <w:bCs/>
          <w:rtl w:val="true"/>
          <w:lang w:eastAsia="en-US"/>
        </w:rPr>
        <w:t>.</w:t>
        <w:tab/>
      </w:r>
      <w:r>
        <w:rPr>
          <w:b/>
          <w:b/>
          <w:bCs/>
          <w:rtl w:val="true"/>
          <w:lang w:eastAsia="en-US"/>
        </w:rPr>
        <w:t>המתווה לכיבוד הסדרי טיעון גובש ב</w:t>
      </w:r>
      <w:hyperlink r:id="rId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1958/98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פלוני 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י 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ד נז</w:t>
        </w:r>
      </w:hyperlink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577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ונקבע כדלקמן</w:t>
      </w:r>
      <w:r>
        <w:rPr>
          <w:b/>
          <w:bCs/>
          <w:rtl w:val="true"/>
        </w:rPr>
        <w:t>:</w:t>
      </w:r>
    </w:p>
    <w:p>
      <w:pPr>
        <w:pStyle w:val="BodyTextIndent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בשיקוליו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בחשיבותם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ובמעמדם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b/>
          <w:bCs/>
          <w:rtl w:val="true"/>
        </w:rPr>
        <w:t>...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והכשרות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כמופקדת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בתום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ענייניים</w:t>
      </w:r>
      <w:r>
        <w:rPr>
          <w:b/>
          <w:bCs/>
          <w:rtl w:val="true"/>
        </w:rPr>
        <w:t>...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hanging="0" w:end="0"/>
        <w:jc w:val="both"/>
        <w:rPr>
          <w:b/>
          <w:bCs/>
        </w:rPr>
      </w:pP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המסקנה היא כי שיקול המפר במידה משמעותית את האיזון הראוי בין שיקולי הענישה הרלוונטיים באופן שנוצר יחס בלתי הולם בין ההקלה הניתנת לנאשם לבין אינטרס 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יהיה בו כדי לפסול את הסדר הטיעון בשל טעותה של התביעה גם אם מניעיה כשרים הם</w:t>
      </w:r>
      <w:r>
        <w:rPr>
          <w:b/>
          <w:bCs/>
          <w:rtl w:val="true"/>
        </w:rPr>
        <w:t xml:space="preserve">..." </w:t>
      </w:r>
    </w:p>
    <w:p>
      <w:pPr>
        <w:pStyle w:val="BodyTextIndent"/>
        <w:ind w:hanging="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end="0"/>
        <w:jc w:val="both"/>
        <w:rPr>
          <w:b/>
          <w:bCs/>
        </w:rPr>
      </w:pPr>
      <w:r>
        <w:rPr>
          <w:b/>
          <w:bCs/>
        </w:rPr>
        <w:t>11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לאור האמור לעיל ואל מול סך הנסיבות לחומרה שמתי לנגד עיני את סך כל הנסיבות לקולא ושיקולי עריכת הסדר הטיעון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לרבות התיקון המהותי שנערך בכתבי האישום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כמו 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 הודיית הנאשם תוך חסכון לא אך בזמן שיפוטי אלא בעיקר את המעמד הקשה של העדת המתלוננת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 בכוונתה לשוב ולחיות במחיצתו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כמו כן את סך כל רכיבי הסדר הטיעון והעובדה שיהא זה מאסרו הראשון של הנאשם</w:t>
      </w:r>
      <w:r>
        <w:rPr>
          <w:b/>
          <w:bCs/>
          <w:rtl w:val="true"/>
        </w:rPr>
        <w:t>.</w:t>
      </w:r>
    </w:p>
    <w:p>
      <w:pPr>
        <w:pStyle w:val="BodyTextIndent"/>
        <w:ind w:hanging="0"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hanging="0" w:end="0"/>
        <w:jc w:val="both"/>
        <w:rPr>
          <w:b/>
          <w:bCs/>
        </w:rPr>
      </w:pPr>
      <w:r>
        <w:rPr>
          <w:b/>
          <w:b/>
          <w:bCs/>
          <w:rtl w:val="true"/>
        </w:rPr>
        <w:t>בסופו של יום לאחר עריכת סך כל האיזונים הנדרשים ולא בלי היסוס באתי לכלל מסקנה כי הגם שהרף העליון של הסדר הטיעון נמצא במתחם הנמוך ביותר של הסבירות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הינו עומד במבחני הפסיקה ואינו פוגע באינטרס הציבורי ועל כן אכבדו</w:t>
      </w:r>
      <w:r>
        <w:rPr>
          <w:b/>
          <w:bCs/>
          <w:rtl w:val="true"/>
        </w:rPr>
        <w:t>.</w:t>
      </w:r>
    </w:p>
    <w:p>
      <w:pPr>
        <w:pStyle w:val="BodyTextIndent"/>
        <w:ind w:hanging="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hanging="0" w:end="0"/>
        <w:jc w:val="both"/>
        <w:rPr>
          <w:b/>
          <w:bCs/>
        </w:rPr>
      </w:pPr>
      <w:r>
        <w:rPr>
          <w:b/>
          <w:b/>
          <w:bCs/>
          <w:rtl w:val="true"/>
        </w:rPr>
        <w:t>בשל ההקלה במשך תקופת המאסר בפועל על פי הסדר הטיעון ועל מנת להרתיע את הנאשם לבל ישוב על 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 בתוך התא המשפחתי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מצאתי מקום לגזור עליו מאסר מותנה לתקופה ממושכת ביותר </w:t>
      </w:r>
      <w:r>
        <w:rPr>
          <w:b/>
          <w:bCs/>
          <w:rtl w:val="true"/>
        </w:rPr>
        <w:t xml:space="preserve">. </w:t>
      </w:r>
    </w:p>
    <w:p>
      <w:pPr>
        <w:pStyle w:val="BodyTextIndent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end="0"/>
        <w:jc w:val="both"/>
        <w:rPr>
          <w:b/>
          <w:bCs/>
        </w:rPr>
      </w:pPr>
      <w:r>
        <w:rPr>
          <w:b/>
          <w:bCs/>
        </w:rPr>
        <w:t>12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אשר על כן אני גוזרת על הנאשם את העונשים הבאים</w:t>
      </w:r>
      <w:r>
        <w:rPr>
          <w:b/>
          <w:bCs/>
          <w:rtl w:val="true"/>
        </w:rPr>
        <w:t>:</w:t>
      </w:r>
    </w:p>
    <w:p>
      <w:pPr>
        <w:pStyle w:val="BodyTextIndent"/>
        <w:ind w:hanging="0"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hanging="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מאסר למשך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חודשים שמניינם מיום מעצרו של הנאשם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30.1.06</w:t>
      </w:r>
      <w:r>
        <w:rPr>
          <w:b/>
          <w:bCs/>
          <w:rtl w:val="true"/>
        </w:rPr>
        <w:t xml:space="preserve"> </w:t>
      </w:r>
    </w:p>
    <w:p>
      <w:pPr>
        <w:pStyle w:val="BodyTextIndent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חודשים מאסר על תנאי לבל יעבור הנאשם במשך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 כל עבירת אלימות מסוג פשע</w:t>
      </w:r>
      <w:r>
        <w:rPr>
          <w:b/>
          <w:bCs/>
          <w:rtl w:val="true"/>
        </w:rPr>
        <w:t>.</w:t>
      </w:r>
    </w:p>
    <w:p>
      <w:pPr>
        <w:pStyle w:val="BodyTextIndent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חודשים מאסר על תנאי לבל יעבור הנאשם במשך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 כל עבירת אלימות מסוג עוון</w:t>
      </w:r>
      <w:r>
        <w:rPr>
          <w:b/>
          <w:bCs/>
          <w:rtl w:val="true"/>
        </w:rPr>
        <w:t>.</w:t>
      </w:r>
    </w:p>
    <w:p>
      <w:pPr>
        <w:pStyle w:val="BodyTextIndent"/>
        <w:ind w:hanging="0" w:end="0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התחייבות בסך של </w:t>
      </w:r>
      <w:r>
        <w:rPr>
          <w:b/>
          <w:bCs/>
        </w:rPr>
        <w:t>7,500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 xml:space="preserve">להימנע במשך שנתיים מביצוע כל עבירת אלימות </w:t>
      </w:r>
      <w:r>
        <w:rPr>
          <w:b/>
          <w:bCs/>
          <w:rtl w:val="true"/>
        </w:rPr>
        <w:t>.</w:t>
      </w:r>
    </w:p>
    <w:p>
      <w:pPr>
        <w:pStyle w:val="BodyTextIndent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BodyTextIndent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BodyTextIndent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BodyTextIndent"/>
        <w:ind w:hanging="0" w:end="0"/>
        <w:jc w:val="both"/>
        <w:rPr>
          <w:b/>
          <w:bCs/>
        </w:rPr>
      </w:pPr>
      <w:r>
        <w:rPr>
          <w:b/>
          <w:b/>
          <w:bCs/>
          <w:rtl w:val="true"/>
        </w:rPr>
        <w:t>בהסכמת הצדדים אני מורה כי המוצג בת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2132/06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יחולט ואילו המוצגים בת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3620/05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יושמדו</w:t>
      </w:r>
      <w:r>
        <w:rPr>
          <w:b/>
          <w:bCs/>
          <w:rtl w:val="true"/>
        </w:rPr>
        <w:t>.</w:t>
      </w:r>
    </w:p>
    <w:p>
      <w:pPr>
        <w:pStyle w:val="BodyTextIndent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BodyTextIndent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BodyTextIndent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 xml:space="preserve">זכות ערעור לבית המשפט המחוזי בתוך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>.</w:t>
      </w:r>
    </w:p>
    <w:p>
      <w:pPr>
        <w:pStyle w:val="BodyTextIndent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  <w:bookmarkStart w:id="10" w:name="Decision2"/>
      <w:bookmarkStart w:id="11" w:name="Decision2"/>
      <w:bookmarkEnd w:id="11"/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דבורה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עטר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54678313-2132/06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4"/>
          <w:sz w:val="24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באב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6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באוגוסט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2006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הצדדים</w:t>
      </w:r>
      <w:r>
        <w:rPr>
          <w:b/>
          <w:bCs/>
          <w:sz w:val="24"/>
          <w:rtl w:val="true"/>
        </w:rPr>
        <w:t xml:space="preserve">. </w:t>
      </w:r>
      <w:r>
        <w:rPr>
          <w:sz w:val="24"/>
          <w:rtl w:val="true"/>
        </w:rPr>
        <w:tab/>
        <w:tab/>
        <w:t xml:space="preserve">   </w:t>
      </w:r>
      <w:r>
        <w:rPr>
          <w:rtl w:val="true"/>
        </w:rPr>
        <w:tab/>
        <w:tab/>
        <w:tab/>
        <w:tab/>
        <w:tab/>
        <w:tab/>
      </w:r>
    </w:p>
    <w:tbl>
      <w:tblPr>
        <w:tblW w:w="2086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86"/>
      </w:tblGrid>
      <w:tr>
        <w:trPr/>
        <w:tc>
          <w:tcPr>
            <w:tcW w:w="20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דבורה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עטר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12" w:name="Decision2"/>
      <w:bookmarkEnd w:id="12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"/>
      <w:footerReference w:type="default" r:id="rId4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/Users/liorb/Downloads/study2025-p2/s06002132-226.doc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2132/06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מורסיי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בדוי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rFonts w:ascii="Arial" w:hAnsi="Arial" w:cs="Arial"/>
      <w:b/>
      <w:bCs/>
      <w:szCs w:val="26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480"/>
      <w:ind w:hanging="0" w:start="0" w:end="0"/>
      <w:jc w:val="center"/>
      <w:outlineLvl w:val="5"/>
    </w:pPr>
    <w:rPr>
      <w:b/>
      <w:bCs/>
      <w:sz w:val="28"/>
      <w:szCs w:val="28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rFonts w:ascii="Arial" w:hAnsi="Arial" w:cs="Arial"/>
      <w:b/>
      <w:bCs/>
      <w:u w:val="doub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pPr>
      <w:spacing w:before="0" w:after="120"/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both"/>
    </w:pPr>
    <w:rPr>
      <w:rFonts w:ascii="Arial" w:hAnsi="Arial" w:cs="Arial"/>
      <w:sz w:val="3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61892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2016-12-29T09:55:00Z</dcterms:created>
  <dc:creator> </dc:creator>
  <dc:description/>
  <cp:keywords/>
  <dc:language>en-IL</dc:language>
  <cp:lastModifiedBy>run</cp:lastModifiedBy>
  <cp:lastPrinted>2006-08-06T11:15:00Z</cp:lastPrinted>
  <dcterms:modified xsi:type="dcterms:W3CDTF">2016-12-29T09:55:00Z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מורסיי בדוי</vt:lpwstr>
  </property>
  <property fmtid="{D5CDD505-2E9C-101B-9397-08002B2CF9AE}" pid="4" name="CASESLISTTMP1">
    <vt:lpwstr>161892</vt:lpwstr>
  </property>
  <property fmtid="{D5CDD505-2E9C-101B-9397-08002B2CF9AE}" pid="5" name="CITY">
    <vt:lpwstr>פ"ת</vt:lpwstr>
  </property>
  <property fmtid="{D5CDD505-2E9C-101B-9397-08002B2CF9AE}" pid="6" name="DATE">
    <vt:lpwstr>20060806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דבורה עטר</vt:lpwstr>
  </property>
  <property fmtid="{D5CDD505-2E9C-101B-9397-08002B2CF9AE}" pid="10" name="LAWYER">
    <vt:lpwstr>גינדין;במברגר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תפ;תפ;תפ</vt:lpwstr>
  </property>
  <property fmtid="{D5CDD505-2E9C-101B-9397-08002B2CF9AE}" pid="27" name="PROCNUM">
    <vt:lpwstr>2132;2131;3620</vt:lpwstr>
  </property>
  <property fmtid="{D5CDD505-2E9C-101B-9397-08002B2CF9AE}" pid="28" name="PROCYEAR">
    <vt:lpwstr>06;06;06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4</vt:lpwstr>
  </property>
</Properties>
</file>