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733"/>
        <w:gridCol w:w="1068"/>
        <w:gridCol w:w="815"/>
        <w:gridCol w:w="239"/>
        <w:gridCol w:w="2625"/>
        <w:gridCol w:w="82"/>
      </w:tblGrid>
      <w:tr>
        <w:trPr>
          <w:trHeight w:val="418" w:hRule="exact"/>
        </w:trPr>
        <w:tc>
          <w:tcPr>
            <w:tcW w:w="8720" w:type="dxa"/>
            <w:gridSpan w:val="6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97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2757-08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עראר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856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ליה לבאון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6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7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6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בהא עראר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פרקליטות מחוז המרכז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אבירי 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בהא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עראר</w:t>
      </w:r>
      <w:r>
        <w:rPr>
          <w:b w:val="false"/>
          <w:b w:val="false"/>
          <w:bCs w:val="false"/>
          <w:u w:val="none"/>
          <w:rtl w:val="true"/>
        </w:rPr>
        <w:t xml:space="preserve"> הובא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דוד יפתח </w:t>
      </w:r>
      <w:r>
        <w:rPr>
          <w:vanish/>
          <w:highlight w:val="yellow"/>
          <w:u w:val="none"/>
          <w:rtl w:val="true"/>
        </w:rPr>
        <w:t>&gt;&gt;&gt;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מרשיעה את הנאשם בכתב האישום שבפני</w:t>
      </w:r>
      <w:r>
        <w:rPr>
          <w:rtl w:val="true"/>
        </w:rPr>
        <w:t xml:space="preserve">, </w:t>
      </w:r>
      <w:r>
        <w:rPr>
          <w:rtl w:val="true"/>
        </w:rPr>
        <w:t xml:space="preserve">באישור הראשון בעבירות לפי הסעיפים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/>
        <w:t>340</w:t>
      </w:r>
      <w:r>
        <w:rPr>
          <w:rtl w:val="true"/>
        </w:rPr>
        <w:t>א לחוק</w:t>
      </w:r>
      <w:r>
        <w:rPr>
          <w:rtl w:val="true"/>
        </w:rPr>
        <w:t xml:space="preserve">, </w:t>
      </w:r>
      <w:r>
        <w:rPr>
          <w:rtl w:val="true"/>
        </w:rPr>
        <w:t xml:space="preserve">עבירות מיום </w:t>
      </w:r>
      <w:r>
        <w:rPr/>
        <w:t>5.5.06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באישום השני מורשע הנאשם בעבירה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רישא לחוק וכן בעבירה לפי סעיף </w:t>
      </w:r>
      <w:r>
        <w:rPr/>
        <w:t>340</w:t>
      </w:r>
      <w:r>
        <w:rPr>
          <w:rtl w:val="true"/>
        </w:rPr>
        <w:t>א לחוק</w:t>
      </w:r>
      <w:r>
        <w:rPr>
          <w:rtl w:val="true"/>
        </w:rPr>
        <w:t xml:space="preserve">, </w:t>
      </w:r>
      <w:r>
        <w:rPr>
          <w:rtl w:val="true"/>
        </w:rPr>
        <w:t xml:space="preserve">עבירות מיום </w:t>
      </w:r>
      <w:r>
        <w:rPr/>
        <w:t>2.10.06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הוסבר לנאשם והוא הבין כי בית המשפט אינו כבול להסדרי 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24/06/2009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>
          <w:sz w:val="4"/>
          <w:szCs w:val="4"/>
        </w:rPr>
      </w:pPr>
      <w:r>
        <w:rPr>
          <w:sz w:val="4"/>
          <w:szCs w:val="4"/>
          <w:rtl w:val="true"/>
        </w:rPr>
        <w:t>&lt;</w:t>
      </w:r>
      <w:r>
        <w:rPr>
          <w:sz w:val="4"/>
          <w:szCs w:val="4"/>
        </w:rPr>
        <w:t>#5#</w:t>
      </w:r>
      <w:r>
        <w:rPr>
          <w:sz w:val="4"/>
          <w:szCs w:val="4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הפניתי את תשומת לב הצדדים לכך שעפ</w:t>
      </w:r>
      <w:r>
        <w:rPr>
          <w:rtl w:val="true"/>
        </w:rPr>
        <w:t>"</w:t>
      </w:r>
      <w:r>
        <w:rPr>
          <w:rtl w:val="true"/>
        </w:rPr>
        <w:t>י גילו של הנאשם נראה כי האישום הראשון מחייב תסקיר</w:t>
      </w:r>
      <w:r>
        <w:rPr>
          <w:rtl w:val="true"/>
        </w:rPr>
        <w:t xml:space="preserve">. </w:t>
      </w:r>
      <w:r>
        <w:rPr>
          <w:rtl w:val="true"/>
        </w:rPr>
        <w:t>בנסיבות אלו יצאו הם להתייעצות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24/06/2009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הכרעת דין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מתוקנת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בהסכמה יימחק האישום הראשון</w:t>
      </w:r>
      <w:r>
        <w:rPr>
          <w:rtl w:val="true"/>
        </w:rPr>
        <w:t xml:space="preserve">, </w:t>
      </w:r>
      <w:r>
        <w:rPr>
          <w:rtl w:val="true"/>
        </w:rPr>
        <w:t>והנאשם מורשע באישום השני בלבד</w:t>
      </w:r>
      <w:r>
        <w:rPr>
          <w:rtl w:val="true"/>
        </w:rPr>
        <w:t xml:space="preserve">, </w:t>
      </w:r>
      <w:r>
        <w:rPr>
          <w:rtl w:val="true"/>
        </w:rPr>
        <w:t xml:space="preserve">בעבירה לפי סעיף </w:t>
      </w:r>
      <w:r>
        <w:rPr/>
        <w:t>144</w:t>
      </w:r>
      <w:r>
        <w:rPr>
          <w:rtl w:val="true"/>
        </w:rPr>
        <w:t>א רישא 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  </w:t>
      </w:r>
      <w:r>
        <w:rPr>
          <w:rtl w:val="true"/>
        </w:rPr>
        <w:t xml:space="preserve">ובעבירה לפי סעיף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 xml:space="preserve">א לחוק מיום </w:t>
      </w:r>
      <w:r>
        <w:rPr/>
        <w:t>2.10.06</w:t>
      </w:r>
      <w:r>
        <w:rPr>
          <w:rtl w:val="true"/>
        </w:rPr>
        <w:t xml:space="preserve">, </w:t>
      </w:r>
      <w:r>
        <w:rPr>
          <w:rtl w:val="true"/>
        </w:rPr>
        <w:t>במסגרת הסדר טיעון ולאחר שהוסבר לנאשם כי בית המשפט אינו כבול להסדר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24/06/2009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ABSTRACT_START"/>
      <w:bookmarkStart w:id="6" w:name="PsakDin"/>
      <w:bookmarkStart w:id="7" w:name="ABSTRACT_START"/>
      <w:bookmarkEnd w:id="6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במסגרת הסדר בעבירה של החזקת נשק בלא רשות עפ</w:t>
      </w:r>
      <w:r>
        <w:rPr>
          <w:rtl w:val="true"/>
        </w:rPr>
        <w:t>"</w:t>
      </w:r>
      <w:r>
        <w:rPr>
          <w:rtl w:val="true"/>
        </w:rPr>
        <w:t>י דין להחזקתו וירי באזור 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8" w:name="ABSTRACT_END"/>
      <w:bookmarkEnd w:id="8"/>
      <w:r>
        <w:rPr>
          <w:rtl w:val="true"/>
        </w:rPr>
        <w:t xml:space="preserve">הנאשם יליד </w:t>
      </w:r>
      <w:r>
        <w:rPr/>
        <w:t>19.8.85</w:t>
      </w:r>
      <w:r>
        <w:rPr>
          <w:rtl w:val="true"/>
        </w:rPr>
        <w:t xml:space="preserve">, </w:t>
      </w:r>
      <w:r>
        <w:rPr>
          <w:rtl w:val="true"/>
        </w:rPr>
        <w:t xml:space="preserve">העבירה היא מיום </w:t>
      </w:r>
      <w:r>
        <w:rPr/>
        <w:t>2.10.06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הוגש ביום </w:t>
      </w:r>
      <w:r>
        <w:rPr/>
        <w:t>23.6.08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 שמעתי הסבר מדוע השיהוי בהגשת 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בפתחו של הדיון הוצג לי הסדר</w:t>
      </w:r>
      <w:r>
        <w:rPr>
          <w:rtl w:val="true"/>
        </w:rPr>
        <w:t xml:space="preserve">, </w:t>
      </w:r>
      <w:r>
        <w:rPr>
          <w:rtl w:val="true"/>
        </w:rPr>
        <w:t>לאחר שכתב האישום תוקן</w:t>
      </w:r>
      <w:r>
        <w:rPr>
          <w:rtl w:val="true"/>
        </w:rPr>
        <w:t xml:space="preserve">, </w:t>
      </w:r>
      <w:r>
        <w:rPr>
          <w:rtl w:val="true"/>
        </w:rPr>
        <w:t>וממנו נמחק האישום 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2.10.06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18.30</w:t>
      </w:r>
      <w:r>
        <w:rPr>
          <w:rtl w:val="true"/>
        </w:rPr>
        <w:t xml:space="preserve"> </w:t>
      </w:r>
      <w:r>
        <w:rPr>
          <w:rtl w:val="true"/>
        </w:rPr>
        <w:t>או בסמוך לכך התגלע סכסוך בין הנאשם לבין אמיר עאדס על רקע שימוש בכביש</w:t>
      </w:r>
      <w:r>
        <w:rPr>
          <w:rtl w:val="true"/>
        </w:rPr>
        <w:t xml:space="preserve">. </w:t>
      </w:r>
      <w:r>
        <w:rPr>
          <w:rtl w:val="true"/>
        </w:rPr>
        <w:t xml:space="preserve">בסביבות השעה </w:t>
      </w:r>
      <w:r>
        <w:rPr/>
        <w:t>19.00</w:t>
      </w:r>
      <w:r>
        <w:rPr>
          <w:rtl w:val="true"/>
        </w:rPr>
        <w:t xml:space="preserve"> </w:t>
      </w:r>
      <w:r>
        <w:rPr>
          <w:rtl w:val="true"/>
        </w:rPr>
        <w:t>הגיע הנאשם לקרבת בית משפחתו של אמיר</w:t>
      </w:r>
      <w:r>
        <w:rPr>
          <w:rtl w:val="true"/>
        </w:rPr>
        <w:t xml:space="preserve">, </w:t>
      </w:r>
      <w:r>
        <w:rPr>
          <w:rtl w:val="true"/>
        </w:rPr>
        <w:t>אשר נמצא ברחובה הראשי של 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 כשהוא מחזיק בנשק בלא רשות עפ</w:t>
      </w:r>
      <w:r>
        <w:rPr>
          <w:rtl w:val="true"/>
        </w:rPr>
        <w:t>"</w:t>
      </w:r>
      <w:r>
        <w:rPr>
          <w:rtl w:val="true"/>
        </w:rPr>
        <w:t>י דין</w:t>
      </w:r>
      <w:r>
        <w:rPr>
          <w:rtl w:val="true"/>
        </w:rPr>
        <w:t xml:space="preserve">, </w:t>
      </w:r>
      <w:r>
        <w:rPr>
          <w:rtl w:val="true"/>
        </w:rPr>
        <w:t>וירה בו באויר מספר יריות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בעברו כאמור הרשעה אחת</w:t>
      </w:r>
      <w:r>
        <w:rPr>
          <w:rtl w:val="true"/>
        </w:rPr>
        <w:t xml:space="preserve">, </w:t>
      </w:r>
      <w:r>
        <w:rPr>
          <w:rtl w:val="true"/>
        </w:rPr>
        <w:t>בעבירות סמים בבימ</w:t>
      </w:r>
      <w:r>
        <w:rPr>
          <w:rtl w:val="true"/>
        </w:rPr>
        <w:t>"</w:t>
      </w:r>
      <w:r>
        <w:rPr>
          <w:rtl w:val="true"/>
        </w:rPr>
        <w:t>ש לנוער פתח תקווה</w:t>
      </w:r>
      <w:r>
        <w:rPr>
          <w:rtl w:val="true"/>
        </w:rPr>
        <w:t xml:space="preserve">, </w:t>
      </w:r>
      <w:r>
        <w:rPr>
          <w:rtl w:val="true"/>
        </w:rPr>
        <w:t>שם הורשע ב</w:t>
      </w:r>
      <w:r>
        <w:rPr>
          <w:rtl w:val="true"/>
        </w:rPr>
        <w:t>-</w:t>
      </w:r>
      <w:r>
        <w:rPr/>
        <w:t>14.7.04</w:t>
      </w:r>
      <w:r>
        <w:rPr>
          <w:rtl w:val="true"/>
        </w:rPr>
        <w:t xml:space="preserve"> </w:t>
      </w:r>
      <w:r>
        <w:rPr>
          <w:rtl w:val="true"/>
        </w:rPr>
        <w:t xml:space="preserve">והוטלה עליו התחייבות וכן פסילה מלנהוג ומאסר על תנאי </w:t>
      </w:r>
      <w:r>
        <w:rPr>
          <w:rtl w:val="true"/>
        </w:rPr>
        <w:t xml:space="preserve">, </w:t>
      </w:r>
      <w:r>
        <w:rPr>
          <w:rtl w:val="true"/>
        </w:rPr>
        <w:t xml:space="preserve">כל זה בעבירות החזקת סמים מספטמבר ואוקטובר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 xml:space="preserve">ומרץ </w:t>
      </w:r>
      <w:r>
        <w:rPr/>
        <w:t>2003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כעולה מכל אלו</w:t>
      </w:r>
      <w:r>
        <w:rPr>
          <w:rtl w:val="true"/>
        </w:rPr>
        <w:t xml:space="preserve">, </w:t>
      </w:r>
      <w:r>
        <w:rPr>
          <w:rtl w:val="true"/>
        </w:rPr>
        <w:t>ומבלי שהונחו בפני פרטים נוספים</w:t>
      </w:r>
      <w:r>
        <w:rPr>
          <w:rtl w:val="true"/>
        </w:rPr>
        <w:t xml:space="preserve">, </w:t>
      </w:r>
      <w:r>
        <w:rPr>
          <w:rtl w:val="true"/>
        </w:rPr>
        <w:t>הרי מדובר במי שחוזר ועובר על החוק</w:t>
      </w:r>
      <w:r>
        <w:rPr>
          <w:rtl w:val="true"/>
        </w:rPr>
        <w:t xml:space="preserve">, </w:t>
      </w:r>
      <w:r>
        <w:rPr>
          <w:rtl w:val="true"/>
        </w:rPr>
        <w:t>מעורב בעבירות סמים</w:t>
      </w:r>
      <w:r>
        <w:rPr>
          <w:rtl w:val="true"/>
        </w:rPr>
        <w:t xml:space="preserve">, </w:t>
      </w:r>
      <w:r>
        <w:rPr>
          <w:rtl w:val="true"/>
        </w:rPr>
        <w:t>מחזיק ברשותו נשק בלא רשות וגם עושה בו שימוש</w:t>
      </w:r>
      <w:r>
        <w:rPr>
          <w:rtl w:val="true"/>
        </w:rPr>
        <w:t xml:space="preserve">. </w:t>
      </w:r>
      <w:r>
        <w:rPr>
          <w:rtl w:val="true"/>
        </w:rPr>
        <w:t>כל זה על אף גילו הצעיר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יוער כי לענין עבירות החזקת הנשק נאמר ב</w:t>
      </w:r>
      <w:hyperlink r:id="rId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כי הסכנה הטמונה בעבירה חמורה של החזקת נשק מצדיקה הטלת עונשי מאסר לריצוי בפועל גם על מי שזו עבירתו הראשונה ובבוא בית המשפט לשקול את הענישה בעבירות מסוג זה</w:t>
      </w:r>
      <w:r>
        <w:rPr>
          <w:rtl w:val="true"/>
        </w:rPr>
        <w:t xml:space="preserve">, </w:t>
      </w:r>
      <w:r>
        <w:rPr>
          <w:rtl w:val="true"/>
        </w:rPr>
        <w:t>עליו לתת משקל נכבד לאינטרס הציבורי ולצורך להרתיע עבריינים בכח מלבצע עבירות 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מעבר לכך יוער כי הנשק במקרה דנן לא הוחזק לשם שמים</w:t>
      </w:r>
      <w:r>
        <w:rPr>
          <w:rtl w:val="true"/>
        </w:rPr>
        <w:t xml:space="preserve">, </w:t>
      </w:r>
      <w:r>
        <w:rPr>
          <w:rtl w:val="true"/>
        </w:rPr>
        <w:t>אלא הנאשם נשאו עימו ועשה בו שימוש</w:t>
      </w:r>
      <w:r>
        <w:rPr>
          <w:rtl w:val="true"/>
        </w:rPr>
        <w:t xml:space="preserve">, </w:t>
      </w:r>
      <w:r>
        <w:rPr>
          <w:rtl w:val="true"/>
        </w:rPr>
        <w:t>במקרה זה כדי להפחיד וכפסע המרחק בין שימוש כדי להפחיד לבין שימוש כדי לפגוע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 הצדדים גובש הסדר</w:t>
      </w:r>
      <w:r>
        <w:rPr>
          <w:rtl w:val="true"/>
        </w:rPr>
        <w:t xml:space="preserve">, </w:t>
      </w:r>
      <w:r>
        <w:rPr>
          <w:rtl w:val="true"/>
        </w:rPr>
        <w:t xml:space="preserve">לפיו יוטלו על הנאשם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ומאסר על 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עונש זה הולם את סך הנסיבות</w:t>
      </w:r>
      <w:r>
        <w:rPr>
          <w:rtl w:val="true"/>
        </w:rPr>
        <w:t xml:space="preserve">, </w:t>
      </w:r>
      <w:r>
        <w:rPr>
          <w:rtl w:val="true"/>
        </w:rPr>
        <w:t>הן את נסיבות העבירה</w:t>
      </w:r>
      <w:r>
        <w:rPr>
          <w:rtl w:val="true"/>
        </w:rPr>
        <w:t xml:space="preserve">, </w:t>
      </w:r>
      <w:r>
        <w:rPr>
          <w:rtl w:val="true"/>
        </w:rPr>
        <w:t>והן את נסיבותיו האישיות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בנסיבות אלו אכבדו ובמסגרתו מטילה אני על הנאשם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החל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מוטלים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אותם לא יישא אלא אם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תום ריצוי מאסרו</w:t>
      </w:r>
      <w:r>
        <w:rPr>
          <w:rtl w:val="true"/>
        </w:rPr>
        <w:t xml:space="preserve">, </w:t>
      </w:r>
      <w:r>
        <w:rPr>
          <w:rtl w:val="true"/>
        </w:rPr>
        <w:t xml:space="preserve">יחזור ויעבור כל עבירה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, </w:t>
      </w:r>
      <w:r>
        <w:rPr>
          <w:rtl w:val="true"/>
        </w:rPr>
        <w:t xml:space="preserve">וכן עבירה לפי סעיף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א לחוק</w:t>
      </w:r>
      <w:r>
        <w:rPr>
          <w:rtl w:val="true"/>
        </w:rPr>
        <w:t xml:space="preserve">, </w:t>
      </w:r>
      <w:r>
        <w:rPr>
          <w:rtl w:val="true"/>
        </w:rPr>
        <w:t>או כל עבירת נסיון או סיוע לבצען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מוצגים יושמדו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/>
          <w:bCs/>
          <w:u w:val="double"/>
          <w:rtl w:val="true"/>
        </w:rPr>
        <w:t>זכות ערעור לביהמ</w:t>
      </w:r>
      <w:r>
        <w:rPr>
          <w:b/>
          <w:bCs/>
          <w:u w:val="double"/>
          <w:rtl w:val="true"/>
        </w:rPr>
        <w:t>"</w:t>
      </w:r>
      <w:r>
        <w:rPr>
          <w:b/>
          <w:b/>
          <w:bCs/>
          <w:u w:val="double"/>
          <w:rtl w:val="true"/>
        </w:rPr>
        <w:t xml:space="preserve">ש המחוזי תוך </w:t>
      </w:r>
      <w:r>
        <w:rPr>
          <w:b/>
          <w:bCs/>
          <w:u w:val="double"/>
        </w:rPr>
        <w:t>45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>יום</w:t>
      </w:r>
      <w:r>
        <w:rPr>
          <w:b/>
          <w:bCs/>
          <w:u w:val="doub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#12#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54678313-2757/08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hyperlink r:id="rId6">
        <w:r>
          <w:rPr>
            <w:rStyle w:val="Hyperlink"/>
            <w:rtl w:val="true"/>
          </w:rPr>
          <w:t>הודעה למנויים על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 xml:space="preserve">חקיקה ועוד באתר נבו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הקש כאן</w:t>
        </w:r>
      </w:hyperlink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/Users/liorb/Downloads/study2025-p2/SH-08-2757-758.doc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2757/08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2757-08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בהא עראר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757-08"/>
    <w:docVar w:name="caseId" w:val="7240365"/>
    <w:docVar w:name="deriveClass" w:val="NGCS.Protocol.BL.Client.ProtocolBLClientCriminal"/>
    <w:docVar w:name="firstPageNumber" w:val="7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77203"/>
    <w:docVar w:name="releaseSign" w:val="0"/>
    <w:docVar w:name="sittingDateTime" w:val="24/06/2009 08:30     "/>
    <w:docVar w:name="sittingId" w:val="15531525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12;&#1506;&#1508;%202718/04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2009-06-25T03:24:00Z</dcterms:created>
  <dc:creator> </dc:creator>
  <dc:description/>
  <cp:keywords/>
  <dc:language>en-IL</dc:language>
  <cp:lastModifiedBy>hofit</cp:lastModifiedBy>
  <cp:lastPrinted>2009-06-24T14:08:00Z</cp:lastPrinted>
  <dcterms:modified xsi:type="dcterms:W3CDTF">2009-06-25T11:48:00Z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בהא עראר </vt:lpwstr>
  </property>
  <property fmtid="{D5CDD505-2E9C-101B-9397-08002B2CF9AE}" pid="4" name="CITY">
    <vt:lpwstr>פ"ת</vt:lpwstr>
  </property>
  <property fmtid="{D5CDD505-2E9C-101B-9397-08002B2CF9AE}" pid="5" name="DATE">
    <vt:lpwstr>20090624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ליה לבאון</vt:lpwstr>
  </property>
  <property fmtid="{D5CDD505-2E9C-101B-9397-08002B2CF9AE}" pid="9" name="LAWYER">
    <vt:lpwstr>אבירי;דוד יפתח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2757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2757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380020090624</vt:lpwstr>
  </property>
  <property fmtid="{D5CDD505-2E9C-101B-9397-08002B2CF9AE}" pid="35" name="TYPE_N_DATE">
    <vt:lpwstr>38020090624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