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eastAsia="Arial" w:cs="Arial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4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993"/>
        <w:gridCol w:w="2268"/>
      </w:tblGrid>
      <w:tr>
        <w:trPr>
          <w:trHeight w:val="195" w:hRule="atLeast"/>
        </w:trPr>
        <w:tc>
          <w:tcPr>
            <w:tcW w:w="51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פתח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תקוה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002886/03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ליה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לב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און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Heading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שירבה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לרנר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פאבל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גלאובך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צד_ג"/>
      <w:bookmarkStart w:id="6" w:name="צד_ג"/>
      <w:bookmarkEnd w:id="6"/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שירבה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ופאבל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לרנר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bookmarkStart w:id="13" w:name="ABSTRACT_START"/>
      <w:bookmarkEnd w:id="13"/>
      <w:r>
        <w:rPr>
          <w:rtl w:val="true"/>
        </w:rPr>
        <w:tab/>
      </w:r>
      <w:r>
        <w:rPr>
          <w:rtl w:val="true"/>
        </w:rPr>
        <w:t>הוכח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" w:cs="Arial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כשכיר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וכקבלן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וסיפק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" w:cs="Arial"/>
          <w:rtl w:val="true"/>
        </w:rPr>
        <w:t xml:space="preserve"> </w:t>
      </w:r>
      <w:r>
        <w:rPr/>
        <w:t>1999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בנובמבר</w:t>
      </w:r>
      <w:r>
        <w:rPr>
          <w:rFonts w:eastAsia="Arial" w:cs="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שעסקה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התחום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ומנהל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כעוסק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מינואר</w:t>
      </w:r>
      <w:r>
        <w:rPr>
          <w:rFonts w:eastAsia="Arial" w:cs="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ופעלו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כספקי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שפעלה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מתן</w:t>
      </w:r>
      <w:r>
        <w:rPr>
          <w:rtl w:val="true"/>
        </w:rPr>
        <w:t xml:space="preserve">" </w:t>
      </w:r>
      <w:r>
        <w:rPr>
          <w:rtl w:val="true"/>
        </w:rPr>
        <w:t>קודם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ובהבדל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" w:cs="Arial"/>
          <w:rtl w:val="true"/>
        </w:rPr>
        <w:t xml:space="preserve"> </w:t>
      </w:r>
      <w:r>
        <w:rPr/>
        <w:t>4/98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8/98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" w:cs="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קיזוז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וככיסוי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סכום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שהתחמק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מלשלמו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/>
        <w:t>25,802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בהוצאתן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" w:cs="Arial"/>
          <w:rtl w:val="true"/>
        </w:rPr>
        <w:t xml:space="preserve"> </w:t>
      </w:r>
      <w:r>
        <w:rPr/>
        <w:t>8/98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/>
        <w:t>11/99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שנרשם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שהעוסקים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סיפקו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שירותי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והחשבוניות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חשבונאי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התחמק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" w:cs="Arial"/>
          <w:rtl w:val="true"/>
        </w:rPr>
        <w:t xml:space="preserve"> </w:t>
      </w:r>
      <w:r>
        <w:rPr/>
        <w:t>344,607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שבכוונה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" w:cs="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" w:cs="Arial"/>
          <w:rtl w:val="true"/>
        </w:rPr>
        <w:t xml:space="preserve"> </w:t>
      </w:r>
      <w:r>
        <w:rPr>
          <w:color w:val="000000"/>
          <w:rtl w:val="true"/>
        </w:rPr>
        <w:t>לתקופות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rFonts w:eastAsia="Arial" w:cs="Arial"/>
          <w:rtl w:val="true"/>
        </w:rPr>
        <w:t xml:space="preserve"> </w:t>
      </w:r>
      <w:r>
        <w:rPr/>
        <w:t>3/98</w:t>
      </w:r>
      <w:r>
        <w:rPr>
          <w:rtl w:val="true"/>
        </w:rPr>
        <w:t xml:space="preserve">, </w:t>
      </w:r>
      <w:r>
        <w:rPr/>
        <w:t>4/98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6/98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" w:cs="Arial"/>
          <w:rtl w:val="true"/>
        </w:rPr>
        <w:t xml:space="preserve"> </w:t>
      </w:r>
      <w:r>
        <w:rPr/>
        <w:t>8/98</w:t>
      </w:r>
      <w:r>
        <w:rPr>
          <w:rtl w:val="true"/>
        </w:rPr>
        <w:t xml:space="preserve">, </w:t>
      </w:r>
      <w:r>
        <w:rPr/>
        <w:t>9/98</w:t>
      </w:r>
      <w:r>
        <w:rPr>
          <w:rtl w:val="true"/>
        </w:rPr>
        <w:t xml:space="preserve">, </w:t>
      </w:r>
      <w:r>
        <w:rPr/>
        <w:t>11/98</w:t>
      </w:r>
      <w:r>
        <w:rPr>
          <w:rtl w:val="true"/>
        </w:rPr>
        <w:t xml:space="preserve">, </w:t>
      </w:r>
      <w:r>
        <w:rPr/>
        <w:t>12/98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6/99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/>
        <w:t>11/99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קיזזו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לעסקה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וגובה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שהתחמקו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/>
        <w:t>360,252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בניהולו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נתקלתי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7/12/03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eastAsia="Arial" w:cs="Arial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-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ולדברי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r>
        <w:rPr>
          <w:rtl w:val="true"/>
        </w:rPr>
        <w:t>מייד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לכשהגיע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מיוצג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ליפקין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eastAsia="Arial" w:cs="Arial"/>
          <w:rtl w:val="true"/>
        </w:rPr>
        <w:t xml:space="preserve"> </w:t>
      </w:r>
      <w:r>
        <w:rPr/>
        <w:t>5.7.04</w:t>
      </w:r>
      <w:r>
        <w:rPr>
          <w:rtl w:val="true"/>
        </w:rPr>
        <w:t xml:space="preserve">), </w:t>
      </w:r>
      <w:r>
        <w:rPr>
          <w:rtl w:val="true"/>
        </w:rPr>
        <w:t>דחיתי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להדברות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" w:cs="Arial"/>
          <w:rtl w:val="true"/>
        </w:rPr>
        <w:t xml:space="preserve"> </w:t>
      </w:r>
      <w:r>
        <w:rPr/>
        <w:t>26.1.05</w:t>
      </w:r>
      <w:r>
        <w:rPr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שחלקן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. </w:t>
      </w:r>
      <w:r>
        <w:rPr>
          <w:rtl w:val="true"/>
        </w:rPr>
        <w:t>שמעתי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גירסת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זימן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פלנקין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ועבורו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eastAsia="Arial" w:cs="Arial"/>
          <w:rtl w:val="true"/>
        </w:rPr>
        <w:t xml:space="preserve"> </w:t>
      </w:r>
      <w:r>
        <w:rPr/>
        <w:t>14.7.05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ונעתרתי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שנשמעו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" w:cs="Arial"/>
          <w:rtl w:val="true"/>
        </w:rPr>
        <w:t xml:space="preserve"> </w:t>
      </w:r>
      <w:r>
        <w:rPr/>
        <w:t>25.9.05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עמרם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היסודיים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והמנומקים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שהתחמקה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" w:cs="Arial"/>
          <w:rtl w:val="true"/>
        </w:rPr>
        <w:t xml:space="preserve"> </w:t>
      </w:r>
      <w:r>
        <w:rPr/>
        <w:t>360,252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קרן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סכום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משוערך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481,779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משהתחמק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מלשלם</w:t>
      </w:r>
      <w:r>
        <w:rPr>
          <w:rFonts w:eastAsia="Arial" w:cs="Arial"/>
          <w:rtl w:val="true"/>
        </w:rPr>
        <w:t xml:space="preserve"> </w:t>
      </w:r>
      <w:r>
        <w:rPr/>
        <w:t>730,661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קרן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משוערך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938,945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שמעיד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ובשיטתיות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הדגישה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למכת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למגרה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שבהכנת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עמדה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משלמי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לקיזוז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הטומאה</w:t>
      </w:r>
      <w:r>
        <w:rPr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בהסתמך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המגמות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ולהתריע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שעברייני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נחשבים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כגזלנים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להפלותם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לטובה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גזלני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מהפרט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וסיומו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ליפקין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" w:cs="Arial"/>
          <w:rtl w:val="true"/>
        </w:rPr>
        <w:t xml:space="preserve"> 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והחשבוניות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שהוצאו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כשנחקר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באחור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והחקירה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פשוטה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וקצרה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חסכוני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הטומאה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והסבריו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ההגיון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תמיכות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ששיקר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והסכומים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ומחדלים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לקולא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ייחשב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החולף</w:t>
      </w:r>
      <w:r>
        <w:rPr>
          <w:rtl w:val="true"/>
        </w:rPr>
        <w:t xml:space="preserve">, </w:t>
      </w:r>
      <w:r>
        <w:rPr>
          <w:rtl w:val="true"/>
        </w:rPr>
        <w:t>ודוחה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לעכוב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משנוכחתי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בטיבן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שנאספו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נאספו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" w:cs="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ישפיע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להמנעות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שקולי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הסתבך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חרוץ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ועובד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ואמנם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שהוציאן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בשהוי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מטילה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" w:cs="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" w:cs="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" w:cs="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הקנס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שעורים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שקלתי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רצויו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דחיתיו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משעסקינן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בשימוש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שהמחדל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המותווית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start="720"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Decision1"/>
      <w:bookmarkStart w:id="17" w:name="Decision1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ליה</w:t>
      </w:r>
      <w:r>
        <w:rPr>
          <w:rFonts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לב</w:t>
      </w:r>
      <w:r>
        <w:rPr>
          <w:rFonts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און</w:t>
      </w:r>
      <w:r>
        <w:rPr>
          <w:rFonts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54678313-2886/03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eastAsia="Arial" w:cs="Arial"/>
        </w:rPr>
      </w:pPr>
      <w:r>
        <w:rPr>
          <w:rFonts w:eastAsia="Arial" w:cs="Arial"/>
          <w:rtl w:val="true"/>
        </w:rPr>
        <w:t xml:space="preserve">     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18"/>
          <w:szCs w:val="20"/>
        </w:rPr>
      </w:pPr>
      <w:r>
        <w:rPr>
          <w:sz w:val="18"/>
          <w:sz w:val="18"/>
          <w:szCs w:val="20"/>
          <w:rtl w:val="true"/>
        </w:rPr>
        <w:t>קלדנית</w:t>
      </w:r>
      <w:r>
        <w:rPr>
          <w:sz w:val="18"/>
          <w:szCs w:val="20"/>
          <w:rtl w:val="true"/>
        </w:rPr>
        <w:t xml:space="preserve">: </w:t>
      </w:r>
      <w:r>
        <w:rPr>
          <w:sz w:val="18"/>
          <w:sz w:val="18"/>
          <w:szCs w:val="20"/>
          <w:rtl w:val="true"/>
        </w:rPr>
        <w:t>ירדן</w:t>
      </w:r>
      <w:bookmarkEnd w:id="17"/>
    </w:p>
    <w:p>
      <w:pPr>
        <w:pStyle w:val="Normal"/>
        <w:ind w:end="0"/>
        <w:jc w:val="start"/>
        <w:rPr>
          <w:color w:val="000000"/>
          <w:sz w:val="14"/>
          <w:szCs w:val="20"/>
        </w:rPr>
      </w:pPr>
      <w:r>
        <w:rPr>
          <w:color w:val="000000"/>
          <w:sz w:val="14"/>
          <w:sz w:val="14"/>
          <w:szCs w:val="20"/>
          <w:rtl w:val="true"/>
        </w:rPr>
        <w:t>נוסח</w:t>
      </w:r>
      <w:r>
        <w:rPr>
          <w:rFonts w:eastAsia="Arial" w:cs="Arial"/>
          <w:color w:val="000000"/>
          <w:sz w:val="14"/>
          <w:sz w:val="14"/>
          <w:szCs w:val="20"/>
          <w:rtl w:val="true"/>
        </w:rPr>
        <w:t xml:space="preserve"> </w:t>
      </w:r>
      <w:r>
        <w:rPr>
          <w:color w:val="000000"/>
          <w:sz w:val="14"/>
          <w:sz w:val="14"/>
          <w:szCs w:val="20"/>
          <w:rtl w:val="true"/>
        </w:rPr>
        <w:t>מסמך</w:t>
      </w:r>
      <w:r>
        <w:rPr>
          <w:rFonts w:eastAsia="Arial" w:cs="Arial"/>
          <w:color w:val="000000"/>
          <w:sz w:val="14"/>
          <w:sz w:val="14"/>
          <w:szCs w:val="20"/>
          <w:rtl w:val="true"/>
        </w:rPr>
        <w:t xml:space="preserve"> </w:t>
      </w:r>
      <w:r>
        <w:rPr>
          <w:color w:val="000000"/>
          <w:sz w:val="14"/>
          <w:sz w:val="14"/>
          <w:szCs w:val="20"/>
          <w:rtl w:val="true"/>
        </w:rPr>
        <w:t>זה</w:t>
      </w:r>
      <w:r>
        <w:rPr>
          <w:rFonts w:eastAsia="Arial" w:cs="Arial"/>
          <w:color w:val="000000"/>
          <w:sz w:val="14"/>
          <w:sz w:val="14"/>
          <w:szCs w:val="20"/>
          <w:rtl w:val="true"/>
        </w:rPr>
        <w:t xml:space="preserve"> </w:t>
      </w:r>
      <w:r>
        <w:rPr>
          <w:color w:val="000000"/>
          <w:sz w:val="14"/>
          <w:sz w:val="14"/>
          <w:szCs w:val="20"/>
          <w:rtl w:val="true"/>
        </w:rPr>
        <w:t>כפוף</w:t>
      </w:r>
      <w:r>
        <w:rPr>
          <w:rFonts w:eastAsia="Arial" w:cs="Arial"/>
          <w:color w:val="000000"/>
          <w:sz w:val="14"/>
          <w:sz w:val="14"/>
          <w:szCs w:val="20"/>
          <w:rtl w:val="true"/>
        </w:rPr>
        <w:t xml:space="preserve"> </w:t>
      </w:r>
      <w:r>
        <w:rPr>
          <w:color w:val="000000"/>
          <w:sz w:val="14"/>
          <w:sz w:val="14"/>
          <w:szCs w:val="20"/>
          <w:rtl w:val="true"/>
        </w:rPr>
        <w:t>לשינויי</w:t>
      </w:r>
      <w:r>
        <w:rPr>
          <w:rFonts w:eastAsia="Arial" w:cs="Arial"/>
          <w:color w:val="000000"/>
          <w:sz w:val="14"/>
          <w:sz w:val="14"/>
          <w:szCs w:val="20"/>
          <w:rtl w:val="true"/>
        </w:rPr>
        <w:t xml:space="preserve"> </w:t>
      </w:r>
      <w:r>
        <w:rPr>
          <w:color w:val="000000"/>
          <w:sz w:val="14"/>
          <w:sz w:val="14"/>
          <w:szCs w:val="20"/>
          <w:rtl w:val="true"/>
        </w:rPr>
        <w:t>ניסוח</w:t>
      </w:r>
      <w:r>
        <w:rPr>
          <w:rFonts w:eastAsia="Arial" w:cs="Arial"/>
          <w:color w:val="000000"/>
          <w:sz w:val="14"/>
          <w:sz w:val="14"/>
          <w:szCs w:val="20"/>
          <w:rtl w:val="true"/>
        </w:rPr>
        <w:t xml:space="preserve"> </w:t>
      </w:r>
      <w:r>
        <w:rPr>
          <w:color w:val="000000"/>
          <w:sz w:val="14"/>
          <w:sz w:val="14"/>
          <w:szCs w:val="2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נבו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לאור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מ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 w:ascii="Times New Roman" w:hAnsi="Times New Roman"/>
        <w:color w:val="000000"/>
        <w:sz w:val="28"/>
        <w:szCs w:val="22"/>
      </w:rPr>
      <w:t>nevo.co.il</w:t>
    </w:r>
    <w:r>
      <w:rPr>
        <w:rFonts w:cs="TopType Jerushalmi;Arial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opType Jerushalmi;Arial"/>
        <w:color w:val="000000"/>
        <w:sz w:val="14"/>
        <w:szCs w:val="14"/>
      </w:rPr>
    </w:pPr>
    <w:r>
      <w:rPr>
        <w:rFonts w:cs="TopType Jerushalmi;Arial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opType Jerushalmi;Arial" w:ascii="Times New Roman" w:hAnsi="Times New Roman"/>
        <w:color w:val="000000"/>
      </w:rPr>
      <w:t>/Users/liorb/Downloads/study2025-p2/s03002886-469.doc</w:t>
    </w:r>
    <w:r>
      <w:rPr>
        <w:rtl w:val="true"/>
        <w:sz w:val="14"/>
        <w:szCs w:val="14"/>
        <w:rFonts w:cs="TopType Jerushalmi;Arial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2886/03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שירבה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Arial" w:hAnsi="Arial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2017-01-22T14:17:00Z</dcterms:created>
  <dc:creator> </dc:creator>
  <dc:description/>
  <cp:keywords/>
  <dc:language>en-IL</dc:language>
  <cp:lastModifiedBy>run</cp:lastModifiedBy>
  <dcterms:modified xsi:type="dcterms:W3CDTF">2017-01-22T14:17:00Z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שירבה בע#מ;לרנר פאבל</vt:lpwstr>
  </property>
  <property fmtid="{D5CDD505-2E9C-101B-9397-08002B2CF9AE}" pid="4" name="CASENOTES1">
    <vt:lpwstr>ProcID=213&amp;PartA=3&amp;PartC=98</vt:lpwstr>
  </property>
  <property fmtid="{D5CDD505-2E9C-101B-9397-08002B2CF9AE}" pid="5" name="CASENOTES2">
    <vt:lpwstr>ProcID=213&amp;PartA=8&amp;PartC=98</vt:lpwstr>
  </property>
  <property fmtid="{D5CDD505-2E9C-101B-9397-08002B2CF9AE}" pid="6" name="CITY">
    <vt:lpwstr>פ"ת</vt:lpwstr>
  </property>
  <property fmtid="{D5CDD505-2E9C-101B-9397-08002B2CF9AE}" pid="7" name="DATE">
    <vt:lpwstr>20050927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ליה לב און</vt:lpwstr>
  </property>
  <property fmtid="{D5CDD505-2E9C-101B-9397-08002B2CF9AE}" pid="11" name="LAWYER">
    <vt:lpwstr>גלאובך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2886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N_DATE">
    <vt:lpwstr>38020050927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