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rFonts w:ascii="Arial" w:hAnsi="Arial" w:cs="Arial"/>
          <w:sz w:val="16"/>
          <w:szCs w:val="20"/>
        </w:rPr>
      </w:pPr>
      <w:bookmarkStart w:id="0" w:name="LastJudge"/>
      <w:bookmarkStart w:id="1" w:name="צד_ג"/>
      <w:bookmarkEnd w:id="0"/>
      <w:bookmarkEnd w:id="1"/>
      <w:r>
        <w:rPr>
          <w:rFonts w:eastAsia="Arial" w:cs="Arial" w:ascii="Arial" w:hAnsi="Arial"/>
          <w:sz w:val="16"/>
          <w:szCs w:val="20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rFonts w:ascii="Arial" w:hAnsi="Arial" w:cs="Arial"/>
          <w:b/>
          <w:b/>
          <w:bCs/>
          <w:sz w:val="18"/>
          <w:sz w:val="18"/>
          <w:szCs w:val="20"/>
          <w:rtl w:val="true"/>
        </w:rPr>
        <w:t>בתי המשפט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964"/>
        <w:gridCol w:w="1950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pacing w:val="110"/>
                <w:sz w:val="36"/>
                <w:szCs w:val="36"/>
              </w:rPr>
            </w:pPr>
            <w:r>
              <w:rPr>
                <w:rFonts w:cs="Arial" w:ascii="Arial" w:hAnsi="Arial"/>
                <w:b/>
                <w:bCs/>
                <w:spacing w:val="110"/>
                <w:sz w:val="36"/>
                <w:szCs w:val="3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משפט השלום פתח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תקוה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  </w:t>
            </w:r>
            <w:r>
              <w:rPr>
                <w:rFonts w:cs="Arial" w:ascii="Arial" w:hAnsi="Arial"/>
                <w:b/>
                <w:bCs/>
                <w:sz w:val="24"/>
              </w:rPr>
              <w:t>003512/05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כבוד השופטת נירה דסקין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11/10/2005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sz w:val="16"/>
          <w:szCs w:val="18"/>
        </w:rPr>
      </w:pPr>
      <w:r>
        <w:rPr>
          <w:rFonts w:cs="Arial" w:ascii="Arial" w:hAnsi="Arial"/>
          <w:sz w:val="16"/>
          <w:szCs w:val="18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16"/>
          <w:szCs w:val="18"/>
        </w:rPr>
      </w:pPr>
      <w:r>
        <w:rPr>
          <w:rFonts w:cs="Arial" w:ascii="Arial" w:hAnsi="Arial"/>
          <w:sz w:val="16"/>
          <w:szCs w:val="1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מדינת ישראל </w:t>
            </w:r>
            <w:r>
              <w:rPr>
                <w:rFonts w:cs="Arial" w:ascii="Arial" w:hAnsi="Arial"/>
                <w:rtl w:val="true"/>
              </w:rPr>
              <w:t xml:space="preserve">/ </w:t>
            </w:r>
            <w:r>
              <w:rPr>
                <w:rFonts w:ascii="Arial" w:hAnsi="Arial" w:cs="Arial"/>
                <w:rtl w:val="true"/>
              </w:rPr>
              <w:t>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מ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4" w:name="FirstLawyer"/>
            <w:bookmarkStart w:id="5" w:name="כינוי_א"/>
            <w:bookmarkStart w:id="6" w:name="בא_כוח_א"/>
            <w:bookmarkStart w:id="7" w:name="FirstLawyer"/>
            <w:bookmarkStart w:id="8" w:name="כינוי_א"/>
            <w:bookmarkStart w:id="9" w:name="בא_כוח_א"/>
            <w:bookmarkEnd w:id="7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גברת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כרמית קינן מתמחה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10" w:name="שם_ב"/>
            <w:bookmarkStart w:id="11" w:name="שם_ב"/>
            <w:bookmarkEnd w:id="11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חג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אג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אמיר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bidi w:val="0"/>
              <w:snapToGrid w:val="false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</w:rPr>
            </w:r>
            <w:bookmarkStart w:id="12" w:name="בא_כוח_ב"/>
            <w:bookmarkStart w:id="13" w:name="כינוי_ב"/>
            <w:bookmarkStart w:id="14" w:name="בא_כוח_ב"/>
            <w:bookmarkStart w:id="15" w:name="כינוי_ב"/>
            <w:bookmarkEnd w:id="14"/>
            <w:bookmarkEnd w:id="15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אבו גררה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6" w:name="LawTable"/>
      <w:bookmarkStart w:id="17" w:name="LawTable"/>
      <w:bookmarkEnd w:id="1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  <w:bookmarkStart w:id="18" w:name="LawTable_End"/>
      <w:bookmarkStart w:id="19" w:name="LawTable_End"/>
      <w:bookmarkEnd w:id="19"/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  <w:bookmarkStart w:id="20" w:name="צד_ג"/>
      <w:bookmarkStart w:id="21" w:name="סוג_מסמך"/>
      <w:bookmarkStart w:id="22" w:name="צד_ג"/>
      <w:bookmarkStart w:id="23" w:name="סוג_מסמך"/>
      <w:bookmarkEnd w:id="22"/>
      <w:bookmarkEnd w:id="23"/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24" w:name="LastJudge"/>
      <w:bookmarkStart w:id="25" w:name="סוג_מסמך"/>
      <w:bookmarkStart w:id="26" w:name="PsakDin"/>
      <w:bookmarkEnd w:id="24"/>
      <w:bookmarkEnd w:id="25"/>
      <w:bookmarkEnd w:id="26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27" w:name="PsakDin"/>
      <w:bookmarkStart w:id="28" w:name="PsakDin"/>
      <w:bookmarkEnd w:id="28"/>
    </w:p>
    <w:p>
      <w:pPr>
        <w:pStyle w:val="Normal"/>
        <w:ind w:end="0"/>
        <w:jc w:val="both"/>
        <w:rPr/>
      </w:pPr>
      <w:bookmarkStart w:id="29" w:name="ABSTRACT_START"/>
      <w:bookmarkEnd w:id="29"/>
      <w:r>
        <w:rPr>
          <w:rFonts w:ascii="Arial" w:hAnsi="Arial" w:cs="Arial"/>
          <w:rtl w:val="true"/>
        </w:rPr>
        <w:t xml:space="preserve">הנאשם הורשע על פי הודאתו בעבירה של החזקת נשק שלא כדין – עבירה לפי סעיף </w:t>
      </w:r>
      <w:hyperlink r:id="rId5"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</w:t>
      </w:r>
      <w:bookmarkStart w:id="30" w:name="ABSTRACT_END"/>
      <w:bookmarkEnd w:id="30"/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נסיבות ביצוע העבירה פורטו בכתב האישום ולפיהן בתאריך </w:t>
      </w:r>
      <w:r>
        <w:rPr>
          <w:rFonts w:cs="Arial" w:ascii="Arial" w:hAnsi="Arial"/>
        </w:rPr>
        <w:t>29.07.05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בסביבות השעה </w:t>
      </w:r>
      <w:r>
        <w:rPr>
          <w:rFonts w:cs="Arial" w:ascii="Arial" w:hAnsi="Arial"/>
        </w:rPr>
        <w:t>18:50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ובמהלך שבוע שקדם למועד זה החזיק הנאשם בלא רשות על פי דין אקדח מסוג טומפליו שקוטר קנהו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ובתוכו מחסנית עם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4"/>
          <w:szCs w:val="4"/>
        </w:rPr>
      </w:pPr>
      <w:r>
        <w:rPr>
          <w:rFonts w:cs="Arial" w:ascii="Arial" w:hAnsi="Arial"/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מסתבר כי מדובר באקדח ומחסנית שנגנבו מבעליהם החוקיים בחודש אוקטובר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מחמת גילו של הנאשם – הנאשם 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 w:cs="Arial"/>
          <w:rtl w:val="true"/>
        </w:rPr>
        <w:t>התבקש תסקיר שירות 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התביעה מפנה לחומרת העבירה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תוך שהיא מפנה גם לנסיבות המקלות שענינן הודיה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גילו הצעיר והעדר הרשעות קודמות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ומבקשת לגזור על הנאשם עונש מאסר בפועל לתקופה ממשית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מפנה אף הוא להודיה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לחסכון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ולנסיבות הימצאות הנשק בחזקת הנאשם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גם מטעים כי הנשק נמצא על ידי הנאשם כשבוע לפני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שנבדק הסתבר כי לא נעשה בנשק שום שימוש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מפנה הסניגור לנסיבות חייו הקשות של הנאשם – בן למשפחה קשת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המפרנס משפחה שלמה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אחיו מרצה מאסר ממושך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עצור עד תום הליכים וזהו מעצרו הראשון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אליבא דהגנה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אינטרס ההרתעה בא על סיפוקו במקרה זה בעצם היות הנאשם עצור עד תום הליכים מאז </w:t>
      </w:r>
      <w:r>
        <w:rPr>
          <w:rFonts w:cs="Arial" w:ascii="Arial" w:hAnsi="Arial"/>
        </w:rPr>
        <w:t>29.07.05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מצידו מבקש כי תינתן לו הזדמנות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מאחר שכבר למד את הלקח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ומפנה לקשייו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מחמת שהוריו שניהם חולים במחלות 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זה שמפרנס את המשפחה ועוזר להוריו לגדל את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ובתוך כך אף השלים את בחינות הבגרות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ובכוונתו ללמוד ראית חשבון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סוקר אף הוא את נסיבותיו האישיות של הנאשם ואת התמונה המשפחתית המורכבת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מחמת צנעת הפרט לא אפרט נסיבותיה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עוד עולה מתסקיר שירות המבחן כי במאי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נדון הנאשם לשנת מבחן ללא 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התקשה להעזר בשירות וניתק הקשר עם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ובנומבר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הופקע צו המבחן בענינו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גם מוכר לשירות מהליך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ושירות המבחן מתרשם כי הוא מתקשה לקחת אחריות על נסיבות העבירה ומגלה חוסר מודעות לחומרתה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בהשפעת ההליך המשפטי התחיל להפנים את החומרה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מביע רגשי צער וחרטה על הסתבכותו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נמנע מלהמליץ על העמדתו של הנאשם למבחן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אומר כבר 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שהעונש שיושת על הנאשם לא יגזר מהעדר המלצה להעמדה למבחן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שהרי עצם הימנעות מהמלצה להעמדה למבחן </w:t>
      </w:r>
      <w:r>
        <w:rPr>
          <w:rFonts w:ascii="Arial" w:hAnsi="Arial" w:cs="Arial"/>
          <w:b/>
          <w:b/>
          <w:bCs/>
          <w:u w:val="single"/>
          <w:rtl w:val="true"/>
        </w:rPr>
        <w:t>כשלעצמה</w:t>
      </w:r>
      <w:r>
        <w:rPr>
          <w:rFonts w:ascii="Arial" w:hAnsi="Arial" w:cs="Arial"/>
          <w:rtl w:val="true"/>
        </w:rPr>
        <w:t xml:space="preserve"> איננה צריכה להביא כשלעצמה להחמרה בענישה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שקלתי טיעוני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האמור בתסקיר ונסיבות העניין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המדובר בעבירה חמורה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גלום בה סיכון רב לציבור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לשלומו ובטחונו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הציג החלטות שונות של מותבים שונים אשר מלמדות שבתי המשפט במקרים מסויימים הקלו בענישה בעבירה מסוג זה למרות חומרתה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ערה אני לכך כי קיימת קשת ענישה רחבה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מענישה קלה ועד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בידוע הוא שכל מקרה נדון לנסיבותיו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החזקת נשק צריכה לקבל מענה ענישתי הולם אשר יהיה בו כדי להרתיע מנפיצות התופעה העברינית של עבירה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החזקת נשק ונשיאת נשק מסוגים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ולעניין זה ראה דברי בית המשפט העליון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6">
        <w:r>
          <w:rPr>
            <w:rStyle w:val="Hyperlink"/>
            <w:rFonts w:cs="Arial" w:ascii="Arial" w:hAnsi="Arial"/>
            <w:color w:val="0000FF"/>
          </w:rPr>
          <w:t>1332/04</w:t>
        </w:r>
        <w:r>
          <w:rPr>
            <w:rStyle w:val="Hyperlink"/>
            <w:rFonts w:cs="Arial" w:ascii="Arial" w:hAnsi="Arial"/>
            <w:color w:val="0000FF"/>
            <w:rtl w:val="true"/>
          </w:rPr>
          <w:t xml:space="preserve">, </w:t>
        </w:r>
      </w:hyperlink>
      <w:r>
        <w:rPr>
          <w:rFonts w:cs="Arial" w:ascii="Arial" w:hAnsi="Arial"/>
          <w:rtl w:val="true"/>
        </w:rPr>
        <w:t xml:space="preserve"> </w:t>
      </w:r>
      <w:hyperlink r:id="rId7">
        <w:r>
          <w:rPr>
            <w:rStyle w:val="Hyperlink"/>
            <w:rFonts w:cs="Arial" w:ascii="Arial" w:hAnsi="Arial"/>
            <w:color w:val="0000FF"/>
          </w:rPr>
          <w:t>1530/04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פס ואחרים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אומר בית המשפט העליון כך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הרי שהמציאות השוררת היום בארץ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 xml:space="preserve">זמינותו של נשק חם ורב עוצמה שיש עמו פוטנציאל להסלמה באלימות העבריינית והאידיאולוגית כאחד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 xml:space="preserve">מחייבים מתן ביטוי עונשי הולם והחמרה ברמת הענישה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השוו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פ </w:t>
      </w:r>
      <w:hyperlink r:id="rId8">
        <w:r>
          <w:rPr>
            <w:rStyle w:val="Hyperlink"/>
            <w:rFonts w:cs="Arial" w:ascii="Arial" w:hAnsi="Arial"/>
            <w:color w:val="0000FF"/>
          </w:rPr>
          <w:t>11448/03</w:t>
        </w:r>
        <w:r>
          <w:rPr>
            <w:rStyle w:val="Hyperlink"/>
            <w:rFonts w:cs="Arial" w:ascii="Arial" w:hAnsi="Arial"/>
            <w:color w:val="0000FF"/>
            <w:rtl w:val="true"/>
          </w:rPr>
          <w:t xml:space="preserve"> 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דיב גרבאן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טרם פורסם</w:t>
      </w:r>
      <w:r>
        <w:rPr>
          <w:rFonts w:cs="Arial" w:ascii="Arial" w:hAnsi="Arial"/>
          <w:b/>
          <w:bCs/>
          <w:rtl w:val="true"/>
        </w:rPr>
        <w:t xml:space="preserve">); </w:t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פ </w:t>
      </w:r>
      <w:hyperlink r:id="rId9">
        <w:r>
          <w:rPr>
            <w:rStyle w:val="Hyperlink"/>
            <w:rFonts w:cs="Arial" w:ascii="Arial" w:hAnsi="Arial"/>
            <w:color w:val="0000FF"/>
          </w:rPr>
          <w:t>5318/03</w:t>
        </w:r>
        <w:r>
          <w:rPr>
            <w:rStyle w:val="Hyperlink"/>
            <w:rFonts w:cs="Arial" w:ascii="Arial" w:hAnsi="Arial"/>
            <w:color w:val="0000FF"/>
            <w:rtl w:val="true"/>
          </w:rPr>
          <w:t xml:space="preserve"> 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סלע עמר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טרם פורסם</w:t>
      </w:r>
      <w:r>
        <w:rPr>
          <w:rFonts w:cs="Arial" w:ascii="Arial" w:hAnsi="Arial"/>
          <w:b/>
          <w:bCs/>
          <w:rtl w:val="true"/>
        </w:rPr>
        <w:t>))..."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באשר לעתירת ההגנה לענישה מקילה שאינה עוברת את תקופת המעצר בה שרוי הנאשם אין לי אלא להפנות לדברי בית המשפט העליון באותו ענין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 xml:space="preserve">"... </w:t>
      </w:r>
      <w:r>
        <w:rPr>
          <w:rFonts w:ascii="Arial" w:hAnsi="Arial" w:cs="Arial"/>
          <w:b/>
          <w:b/>
          <w:bCs/>
          <w:rtl w:val="true"/>
        </w:rPr>
        <w:t>אם אכן נהגו בתי המשפט בסלחנות עד כה בעבירות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ניתן לומר כי לא הרימו תרומה מספקת לעקירת התופעה של החזקה או נשיאה של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שהתפשטה במקומותינו והתדרדרה לשימוש בו בידי גורמים המסכנים את שלומו ובטחונו של הציבור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ערה אני לכך כי באותו עניין היה מדובר בנסיבות חמורות יותר מאשר נסיבות הענין שלפני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כך גם היתה הענישה שבסופו של דבר הושתה על הנאשמים שם 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בית המשפט העליון ציין כי בענישה זו אינו ממצה את הדין עם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שציין כי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נעיר כי החמרה נוספת ברף הענישה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בעבירות מסוג זה בהם הורשעו המשיבים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אם וכאשר ידרשו לכך בתי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היא בלתי נמנעת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והדברים יפים וישימים כמובן גם לעניננו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שערה אני לחומרה ולרף הענישה הראוי שהוצב על ידי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תובאנה בחשבון גם הנסיבות המקלות כפי שפורטו 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הנסיבות הקשות של הנאשם כפי שפורטו בתסקיר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כולל בין השאר את ההודיה המידית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יש בה כדי לחסוך מזמנו של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ההודיה בנסיבות הבעת החרטה שהובעה על ידי הנאשם בפני יש בה כדי להחיל את הכלל של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מודה ועוזב ירוחם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rtl w:val="true"/>
        </w:rPr>
        <w:t>על הנאשם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מביאה אני בחשבון את 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העובדה שהגם שעולה מתסקיר שירות המבחן כי זו אינה הסתבכותו הראשונה של הנאשם בפלילים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עובדה היא שאין לו כל הרשעות קודמות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תובא בחשבון העובדה שתוך שהנאשם לקח חלק בטיפול באחיו ובפרנסת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גם השלים את בחינות הבגרות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ובדעתו להמשיך וללמוד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ששקלתי את מכלול הנסיבות  שהובאו 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את מכלול שיקולי הענישה אשר כוללים בתוכם גם את האינטרס השיקומי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מחליטה אני לא למצות את הדין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שאילולא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הענישה שהיתה צריכה להגזר עליו היתה מחמירה בהרבה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גוזרת על הנאשם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מתוכם יהיו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היתרה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ודהיינו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יהיו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שלא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מיום שחרורו מהמאסר כל עבירה לפי </w:t>
      </w:r>
      <w:hyperlink r:id="rId10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תקופת המאסר לריצוי בפועל תמנה מיום מעצרו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29.07.05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בהן הנאשם מצוי במעצר עד תום הליכים מאז המועד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נסיבות היותו בן למשפחה קשת יום ולהורים החולים במחלות קשות ונוכח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מוצאת אני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לפנים משורת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להשית עליו קנס כספי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צו להחזרת הנשק לבעליו בכפוף להצגת רשיון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ובמידה ולא יוחזר כאמור לעיל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יחולט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>הודעה זכות ערעור לבית המשפט המחוזי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ניתנה היום 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בתשרי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ו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באוקטובר </w:t>
      </w:r>
      <w:r>
        <w:rPr>
          <w:rFonts w:cs="Arial" w:ascii="Arial" w:hAnsi="Arial"/>
          <w:b/>
          <w:bCs/>
        </w:rPr>
        <w:t>2005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ascii="Arial" w:hAnsi="Arial" w:cs="Arial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tblW w:w="2795" w:type="dxa"/>
        <w:jc w:val="start"/>
        <w:tblInd w:w="5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5"/>
      </w:tblGrid>
      <w:tr>
        <w:trPr/>
        <w:tc>
          <w:tcPr>
            <w:tcW w:w="279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נירה דסקין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Heading"/>
        <w:ind w:end="0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  <w:bookmarkStart w:id="31" w:name="Decision1"/>
      <w:bookmarkStart w:id="32" w:name="Decision1"/>
    </w:p>
    <w:p>
      <w:pPr>
        <w:pStyle w:val="Heading"/>
        <w:ind w:end="0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Heading"/>
        <w:ind w:end="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החלטה</w:t>
      </w:r>
    </w:p>
    <w:p>
      <w:pPr>
        <w:pStyle w:val="Heading"/>
        <w:ind w:end="0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צו עיכוב יציאה מהארץ נגד הנאשם אשר יהיה בתוקפו עד לתום ריצוי עונש המאסר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כאשר יסיים הנאשם לרצות את עונש המאסר ימציא אישור על כך לבית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ואו אז יובא התיק עם האישור בפני לשם ביטול הצו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ניתנה היום 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בתשרי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ו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באוקטובר </w:t>
      </w:r>
      <w:r>
        <w:rPr>
          <w:rFonts w:cs="Arial" w:ascii="Arial" w:hAnsi="Arial"/>
          <w:b/>
          <w:bCs/>
        </w:rPr>
        <w:t>2005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במעמד הצדדים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 w:val="22"/>
          <w:szCs w:val="22"/>
          <w:rtl w:val="true"/>
        </w:rPr>
        <w:t>נירה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דסקין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Arial" w:hAnsi="Arial"/>
          <w:color w:val="000000"/>
          <w:sz w:val="22"/>
          <w:szCs w:val="22"/>
        </w:rPr>
        <w:t>54678313-3512/05</w:t>
      </w:r>
    </w:p>
    <w:p>
      <w:pPr>
        <w:pStyle w:val="Normal"/>
        <w:ind w:end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rtl w:val="true"/>
        </w:rPr>
      </w:r>
    </w:p>
    <w:tbl>
      <w:tblPr>
        <w:tblW w:w="2795" w:type="dxa"/>
        <w:jc w:val="start"/>
        <w:tblInd w:w="5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5"/>
      </w:tblGrid>
      <w:tr>
        <w:trPr/>
        <w:tc>
          <w:tcPr>
            <w:tcW w:w="279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נירה דסקין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b/>
          <w:bCs/>
          <w:sz w:val="16"/>
          <w:szCs w:val="16"/>
          <w:rtl w:val="true"/>
        </w:rPr>
        <w:t>{</w:t>
      </w:r>
      <w:r>
        <w:rPr>
          <w:rFonts w:ascii="Arial" w:hAnsi="Arial" w:cs="Arial"/>
          <w:b/>
          <w:b/>
          <w:bCs/>
          <w:sz w:val="16"/>
          <w:sz w:val="16"/>
          <w:szCs w:val="16"/>
          <w:rtl w:val="true"/>
        </w:rPr>
        <w:t>קלדנית – רוני ט</w:t>
      </w:r>
      <w:r>
        <w:rPr>
          <w:rFonts w:cs="Arial" w:ascii="Arial" w:hAnsi="Arial"/>
          <w:b/>
          <w:bCs/>
          <w:sz w:val="16"/>
          <w:szCs w:val="16"/>
          <w:rtl w:val="true"/>
        </w:rPr>
        <w:t>.}</w:t>
      </w:r>
      <w:bookmarkEnd w:id="32"/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/Users/liorb/Downloads/study2025-p2/s05003512-429.doc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3512/05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אג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אמיר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563C1"/>
      <w:u w:val="single"/>
    </w:rPr>
  </w:style>
  <w:style w:type="character" w:styleId="UnresolvedMention">
    <w:name w:val="Unresolved Mention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pPr>
      <w:ind w:hanging="0" w:start="0" w:end="0"/>
      <w:jc w:val="both"/>
    </w:pPr>
    <w:rPr>
      <w:rFonts w:ascii="Arial" w:hAnsi="Arial" w:cs="Arial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case/5762686" TargetMode="External"/><Relationship Id="rId7" Type="http://schemas.openxmlformats.org/officeDocument/2006/relationships/hyperlink" Target="http://www.nevo.co.il/case/5762686" TargetMode="External"/><Relationship Id="rId8" Type="http://schemas.openxmlformats.org/officeDocument/2006/relationships/hyperlink" Target="http://www.nevo.co.il/case/6180713" TargetMode="External"/><Relationship Id="rId9" Type="http://schemas.openxmlformats.org/officeDocument/2006/relationships/hyperlink" Target="http://www.nevo.co.il/case/6006233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2017-08-20T09:59:00Z</dcterms:created>
  <dc:creator> </dc:creator>
  <dc:description/>
  <cp:keywords/>
  <dc:language>en-IL</dc:language>
  <cp:lastModifiedBy>run</cp:lastModifiedBy>
  <cp:lastPrinted>2005-10-11T11:50:00Z</cp:lastPrinted>
  <dcterms:modified xsi:type="dcterms:W3CDTF">2017-08-20T09:59:00Z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חג'אג' אמיר</vt:lpwstr>
  </property>
  <property fmtid="{D5CDD505-2E9C-101B-9397-08002B2CF9AE}" pid="4" name="CASESLISTTMP1">
    <vt:lpwstr>5762686:2;6180713;6006233</vt:lpwstr>
  </property>
  <property fmtid="{D5CDD505-2E9C-101B-9397-08002B2CF9AE}" pid="5" name="CITY">
    <vt:lpwstr>פ"ת</vt:lpwstr>
  </property>
  <property fmtid="{D5CDD505-2E9C-101B-9397-08002B2CF9AE}" pid="6" name="DATE">
    <vt:lpwstr>20051011</vt:lpwstr>
  </property>
  <property fmtid="{D5CDD505-2E9C-101B-9397-08002B2CF9AE}" pid="7" name="ISABSTRACT">
    <vt:lpwstr>Y</vt:lpwstr>
  </property>
  <property fmtid="{D5CDD505-2E9C-101B-9397-08002B2CF9AE}" pid="8" name="JUDGE">
    <vt:lpwstr>נירה דסקין</vt:lpwstr>
  </property>
  <property fmtid="{D5CDD505-2E9C-101B-9397-08002B2CF9AE}" pid="9" name="LAWLISTTMP1">
    <vt:lpwstr>70301/144.a;144</vt:lpwstr>
  </property>
  <property fmtid="{D5CDD505-2E9C-101B-9397-08002B2CF9AE}" pid="10" name="LAWYER">
    <vt:lpwstr>אבו גררה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3512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7</vt:lpwstr>
  </property>
</Properties>
</file>