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08"/>
        <w:gridCol w:w="431"/>
        <w:gridCol w:w="1001"/>
        <w:gridCol w:w="517"/>
        <w:gridCol w:w="5045"/>
      </w:tblGrid>
      <w:tr>
        <w:trPr>
          <w:trHeight w:val="418" w:hRule="exact"/>
        </w:trPr>
        <w:tc>
          <w:tcPr>
            <w:tcW w:w="3757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בקריות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80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1161-07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משרד החקלאות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היועץ המשפטי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יחיא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3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518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31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2008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משרד החקלאות 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היועץ המשפטי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יהושע יחיא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 xml:space="preserve">באמצעות </w:t>
      </w:r>
      <w:bookmarkStart w:id="3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3"/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ג</w:t>
      </w:r>
      <w:r>
        <w:rPr>
          <w:u w:val="none"/>
          <w:rtl w:val="true"/>
        </w:rPr>
        <w:t>'</w:t>
      </w:r>
      <w:r>
        <w:rPr>
          <w:u w:val="none"/>
          <w:rtl w:val="true"/>
        </w:rPr>
        <w:t>ריס גנטוס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הודה בכל העובדות שבכתב האישום</w:t>
      </w:r>
      <w:r>
        <w:rPr>
          <w:rtl w:val="true"/>
        </w:rPr>
        <w:t xml:space="preserve">. </w:t>
      </w:r>
      <w:r>
        <w:rPr>
          <w:rtl w:val="true"/>
        </w:rPr>
        <w:t>אני מוצאת אותו אשם בעביר</w:t>
      </w:r>
      <w:r>
        <w:rPr>
          <w:rtl w:val="true"/>
        </w:rPr>
        <w:t>ות</w:t>
      </w:r>
      <w:r>
        <w:rPr>
          <w:rtl w:val="true"/>
        </w:rPr>
        <w:t xml:space="preserve"> המפורט</w:t>
      </w:r>
      <w:r>
        <w:rPr>
          <w:rtl w:val="true"/>
        </w:rPr>
        <w:t>ו</w:t>
      </w:r>
      <w:r>
        <w:rPr>
          <w:rtl w:val="true"/>
        </w:rPr>
        <w:t>ת בכתב האישום ומרשיעה אותו בגינ</w:t>
      </w:r>
      <w:r>
        <w:rPr>
          <w:rtl w:val="true"/>
        </w:rPr>
        <w:t>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#4#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טבת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31/12/2008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רמה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לאופר חסון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שבפני הורשע עפ</w:t>
      </w:r>
      <w:r>
        <w:rPr>
          <w:rtl w:val="true"/>
        </w:rPr>
        <w:t>"</w:t>
      </w:r>
      <w:r>
        <w:rPr>
          <w:rtl w:val="true"/>
        </w:rPr>
        <w:t>י הודאתו</w:t>
      </w:r>
      <w:r>
        <w:rPr>
          <w:rtl w:val="true"/>
        </w:rPr>
        <w:t xml:space="preserve">, </w:t>
      </w:r>
      <w:r>
        <w:rPr>
          <w:rtl w:val="true"/>
        </w:rPr>
        <w:t>כמפורט בכתב 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העבירות נשוא כתב האישום הינן משנת </w:t>
      </w:r>
      <w:r>
        <w:rPr/>
        <w:t>2005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כתב האישום הוגש בשהוי ניכר שלא הוסברה לי סיבתו ורק בנובמבר </w:t>
      </w:r>
      <w:r>
        <w:rPr/>
        <w:t>2007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הסביר הנאשם כי כיום אינו חוזר על ביצוע העבירות שאותן ביצע בשל חסרון כיס וכי כיום הינו עובד במקום עבודה מסודר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 ולאח</w:t>
      </w:r>
      <w:r>
        <w:rPr>
          <w:rtl w:val="true"/>
        </w:rPr>
        <w:t>ר ששמעתי דבריהם של ב</w:t>
      </w:r>
      <w:r>
        <w:rPr>
          <w:rtl w:val="true"/>
        </w:rPr>
        <w:t>"</w:t>
      </w:r>
      <w:r>
        <w:rPr>
          <w:rtl w:val="true"/>
        </w:rPr>
        <w:t xml:space="preserve">כ התביעה ושל הנאשם </w:t>
      </w:r>
      <w:r>
        <w:rPr>
          <w:rtl w:val="true"/>
        </w:rPr>
        <w:t xml:space="preserve">ונתתי דעתי למיכלול נסיבות העניין שבפני לרבות </w:t>
      </w:r>
      <w:r>
        <w:rPr>
          <w:rtl w:val="true"/>
        </w:rPr>
        <w:t>הודאתו של הנאשם אשר חסכה מזמנו של בית המשפט</w:t>
      </w:r>
      <w:r>
        <w:rPr>
          <w:rtl w:val="true"/>
        </w:rPr>
        <w:t xml:space="preserve">, </w:t>
      </w:r>
      <w:r>
        <w:rPr>
          <w:rtl w:val="true"/>
        </w:rPr>
        <w:t>השהוי הניכר שחל בכתב האישום</w:t>
      </w:r>
      <w:r>
        <w:rPr>
          <w:rtl w:val="true"/>
        </w:rPr>
        <w:t xml:space="preserve">, </w:t>
      </w:r>
      <w:r>
        <w:rPr>
          <w:rtl w:val="true"/>
        </w:rPr>
        <w:t>הנני גוזרת בזאת על הנאשם העונש 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קנס בסך</w:t>
      </w:r>
      <w:r>
        <w:rPr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חודש מאסר 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הקנס ישולם ב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 xml:space="preserve">תשלומים חודשיים שווים ורצופים כשהראשון שבהם ישולם עד יום </w:t>
      </w:r>
      <w:r>
        <w:rPr/>
        <w:t>28.02.09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היה והופקד ע</w:t>
      </w:r>
      <w:r>
        <w:rPr>
          <w:rtl w:val="true"/>
        </w:rPr>
        <w:t>"</w:t>
      </w:r>
      <w:r>
        <w:rPr>
          <w:rtl w:val="true"/>
        </w:rPr>
        <w:t>י הנאשם פקדון כלשהו מכח צו הבאה שהוצא כנגדו בתיק</w:t>
      </w:r>
      <w:r>
        <w:rPr>
          <w:rtl w:val="true"/>
        </w:rPr>
        <w:t xml:space="preserve">, </w:t>
      </w:r>
      <w:r>
        <w:rPr>
          <w:rtl w:val="true"/>
        </w:rPr>
        <w:t>יקוזז סכום הפקדון לטובת הקנס שהוטל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מאסר על תנאי לתקופה של</w:t>
      </w:r>
      <w:r>
        <w:rPr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חודש ואולם הנאשם לא ישא בעונש זה אלא אם כן יעבור תוך תקופה של 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שנה </w:t>
      </w:r>
      <w:r>
        <w:rPr>
          <w:rtl w:val="true"/>
        </w:rPr>
        <w:t>עבירה מן העבירות בהן הורשע ויורשע בגינה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טבת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31/12/2008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רמה לאופר חסון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רמה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לאופר חסון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לוגסי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שירלי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/Users/liorb/Downloads/study2025-p2/SH-07-1161.doc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קריות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1161-07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משרד החקלאות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היועץ המשפטי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יהושע יחיא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161-07"/>
    <w:docVar w:name="caseId" w:val="3078061"/>
    <w:docVar w:name="deriveClass" w:val="NGCS.Protocol.BL.Client.ProtocolBLClientCriminal"/>
    <w:docVar w:name="firstPageNumber" w:val="2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206195"/>
    <w:docVar w:name="releaseSign" w:val="0"/>
    <w:docVar w:name="sittingDateTime" w:val="31/12/2008 11:30     "/>
    <w:docVar w:name="sittingId" w:val="7195106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Style11">
    <w:name w:val="גופן ברירת המחדל של פיסקה"/>
    <w:qFormat/>
    <w:rPr/>
  </w:style>
  <w:style w:type="character" w:styleId="Style12">
    <w:name w:val="הפנייה להערה"/>
    <w:basedOn w:val="Style11"/>
    <w:qFormat/>
    <w:rPr>
      <w:sz w:val="16"/>
      <w:szCs w:val="16"/>
    </w:rPr>
  </w:style>
  <w:style w:type="character" w:styleId="PageNumber">
    <w:name w:val="page number"/>
    <w:basedOn w:val="Style11"/>
    <w:rPr/>
  </w:style>
  <w:style w:type="character" w:styleId="LineNumber">
    <w:name w:val="line number"/>
    <w:basedOn w:val="Style11"/>
    <w:rPr>
      <w:rFonts w:cs="Arial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טקסט הערה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Style14">
    <w:name w:val="טקסט בלונים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2009-01-01T14:51:00Z</dcterms:created>
  <dc:creator> </dc:creator>
  <dc:description/>
  <cp:keywords/>
  <dc:language>en-IL</dc:language>
  <cp:lastModifiedBy>hofit</cp:lastModifiedBy>
  <cp:lastPrinted>2008-12-31T12:16:00Z</cp:lastPrinted>
  <dcterms:modified xsi:type="dcterms:W3CDTF">2009-01-01T16:30:00Z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משרד החקלאות - היועץ המשפטי</vt:lpwstr>
  </property>
  <property fmtid="{D5CDD505-2E9C-101B-9397-08002B2CF9AE}" pid="3" name="APPELLEE">
    <vt:lpwstr>יהושע יחיא</vt:lpwstr>
  </property>
  <property fmtid="{D5CDD505-2E9C-101B-9397-08002B2CF9AE}" pid="4" name="CITY">
    <vt:lpwstr>קריות</vt:lpwstr>
  </property>
  <property fmtid="{D5CDD505-2E9C-101B-9397-08002B2CF9AE}" pid="5" name="DATE">
    <vt:lpwstr>20081231</vt:lpwstr>
  </property>
  <property fmtid="{D5CDD505-2E9C-101B-9397-08002B2CF9AE}" pid="6" name="DELEMATA">
    <vt:lpwstr/>
  </property>
  <property fmtid="{D5CDD505-2E9C-101B-9397-08002B2CF9AE}" pid="7" name="JUDGE">
    <vt:lpwstr>רמה לאופר חסון</vt:lpwstr>
  </property>
  <property fmtid="{D5CDD505-2E9C-101B-9397-08002B2CF9AE}" pid="8" name="LAWYER">
    <vt:lpwstr>ג'ריס גנטוס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1161</vt:lpwstr>
  </property>
  <property fmtid="{D5CDD505-2E9C-101B-9397-08002B2CF9AE}" pid="22" name="NEWPARTB">
    <vt:lpwstr/>
  </property>
  <property fmtid="{D5CDD505-2E9C-101B-9397-08002B2CF9AE}" pid="23" name="NEWPARTC">
    <vt:lpwstr>07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1161</vt:lpwstr>
  </property>
  <property fmtid="{D5CDD505-2E9C-101B-9397-08002B2CF9AE}" pid="30" name="PROCYEAR">
    <vt:lpwstr>07</vt:lpwstr>
  </property>
  <property fmtid="{D5CDD505-2E9C-101B-9397-08002B2CF9AE}" pid="31" name="PSAKDIN">
    <vt:lpwstr>הכרעת-דין</vt:lpwstr>
  </property>
  <property fmtid="{D5CDD505-2E9C-101B-9397-08002B2CF9AE}" pid="32" name="TYPE">
    <vt:lpwstr>3</vt:lpwstr>
  </property>
  <property fmtid="{D5CDD505-2E9C-101B-9397-08002B2CF9AE}" pid="33" name="TYPE_ABS_DATE">
    <vt:lpwstr>380020081231</vt:lpwstr>
  </property>
  <property fmtid="{D5CDD505-2E9C-101B-9397-08002B2CF9AE}" pid="34" name="TYPE_N_DATE">
    <vt:lpwstr>38020081231</vt:lpwstr>
  </property>
  <property fmtid="{D5CDD505-2E9C-101B-9397-08002B2CF9AE}" pid="35" name="VOLUME">
    <vt:lpwstr/>
  </property>
  <property fmtid="{D5CDD505-2E9C-101B-9397-08002B2CF9AE}" pid="36" name="WORDNUMPAGES">
    <vt:lpwstr>2</vt:lpwstr>
  </property>
</Properties>
</file>