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רחובות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003106/98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און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04/01/2001</w:t>
            </w:r>
          </w:p>
        </w:tc>
      </w:tr>
    </w:tbl>
    <w:p>
      <w:pPr>
        <w:pStyle w:val="Normal"/>
        <w:spacing w:lineRule="auto" w:line="240"/>
        <w:ind w:end="0"/>
        <w:jc w:val="start"/>
        <w:rPr>
          <w:rFonts w:ascii="Arial" w:hAnsi="Arial" w:cs="Arial"/>
          <w:b/>
          <w:bCs/>
          <w:sz w:val="24"/>
          <w:szCs w:val="26"/>
        </w:rPr>
      </w:pPr>
      <w:r>
        <w:rPr>
          <w:rFonts w:cs="Arial" w:ascii="Arial" w:hAnsi="Arial"/>
          <w:b/>
          <w:bCs/>
          <w:sz w:val="24"/>
          <w:szCs w:val="26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2"/>
                <w:szCs w:val="24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2409" w:type="dxa"/>
            <w:tcBorders/>
          </w:tcPr>
          <w:p>
            <w:pPr>
              <w:pStyle w:val="Heading1"/>
              <w:keepNext w:val="false"/>
              <w:spacing w:lineRule="exact" w:line="320" w:before="0" w:after="80"/>
              <w:ind w:end="0"/>
              <w:jc w:val="both"/>
              <w:rPr>
                <w:rFonts w:ascii="Arial" w:hAnsi="Arial" w:cs="Arial"/>
                <w:sz w:val="24"/>
                <w:szCs w:val="26"/>
                <w:u w:val="none"/>
              </w:rPr>
            </w:pPr>
            <w:r>
              <w:rPr>
                <w:rFonts w:ascii="Arial" w:hAnsi="Arial" w:cs="Arial"/>
                <w:sz w:val="24"/>
                <w:sz w:val="24"/>
                <w:szCs w:val="26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2"/>
                <w:szCs w:val="24"/>
                <w:u w:val="none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  <w:u w:val="none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על</w:t>
            </w: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ידי ב</w:t>
            </w: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כ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עוה</w:t>
            </w: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ד גלאובך </w:t>
            </w: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דגו צחי</w:t>
            </w:r>
            <w:bookmarkStart w:id="6" w:name="שם_ב"/>
            <w:bookmarkEnd w:id="6"/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– נוכח –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וב</w:t>
            </w: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ד אדווה ויצמן ממשרד עו</w:t>
            </w: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szCs w:val="26"/>
                <w:rtl w:val="true"/>
              </w:rPr>
              <w:t>ד פלנסקי – נוכחת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rFonts w:ascii="Arial" w:hAnsi="Arial" w:cs="Arial"/>
                <w:sz w:val="24"/>
                <w:szCs w:val="26"/>
                <w:u w:val="none"/>
              </w:rPr>
            </w:pPr>
            <w:r>
              <w:rPr>
                <w:rFonts w:ascii="Arial" w:hAnsi="Arial" w:cs="Arial"/>
                <w:sz w:val="24"/>
                <w:sz w:val="24"/>
                <w:szCs w:val="26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start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start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240"/>
        <w:ind w:end="0"/>
        <w:jc w:val="start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  <w:rtl w:val="true"/>
        </w:rPr>
      </w:r>
    </w:p>
    <w:p>
      <w:pPr>
        <w:pStyle w:val="Normal"/>
        <w:spacing w:lineRule="auto" w:line="240"/>
        <w:ind w:end="0"/>
        <w:jc w:val="start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  <w:rtl w:val="true"/>
        </w:rPr>
      </w:r>
    </w:p>
    <w:p>
      <w:pPr>
        <w:pStyle w:val="Normal"/>
        <w:spacing w:lineRule="auto" w:line="240"/>
        <w:ind w:end="0"/>
        <w:jc w:val="start"/>
        <w:rPr>
          <w:rFonts w:ascii="Arial" w:hAnsi="Arial" w:cs="Arial"/>
          <w:b/>
          <w:bCs/>
          <w:sz w:val="24"/>
          <w:szCs w:val="26"/>
        </w:rPr>
      </w:pPr>
      <w:r>
        <w:rPr>
          <w:rFonts w:cs="Arial" w:ascii="Arial" w:hAnsi="Arial"/>
          <w:b/>
          <w:bCs/>
          <w:sz w:val="24"/>
          <w:szCs w:val="26"/>
          <w:rtl w:val="true"/>
        </w:rPr>
      </w:r>
    </w:p>
    <w:p>
      <w:pPr>
        <w:pStyle w:val="Normal"/>
        <w:spacing w:lineRule="auto" w:line="240"/>
        <w:ind w:end="0"/>
        <w:jc w:val="start"/>
        <w:rPr>
          <w:rFonts w:ascii="Arial" w:hAnsi="Arial" w:cs="Arial"/>
          <w:b/>
          <w:bCs/>
          <w:sz w:val="24"/>
          <w:szCs w:val="26"/>
        </w:rPr>
      </w:pPr>
      <w:r>
        <w:rPr>
          <w:rFonts w:cs="Arial" w:ascii="Arial" w:hAnsi="Arial"/>
          <w:b/>
          <w:bCs/>
          <w:sz w:val="24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Cs w:val="32"/>
          <w:u w:val="single"/>
        </w:rPr>
      </w:pPr>
      <w:bookmarkStart w:id="11" w:name="LastJudge"/>
      <w:bookmarkStart w:id="12" w:name="PsakDin"/>
      <w:bookmarkStart w:id="13" w:name="סוג_מסמך"/>
      <w:bookmarkEnd w:id="11"/>
      <w:bookmarkEnd w:id="12"/>
      <w:bookmarkEnd w:id="13"/>
      <w:r>
        <w:rPr>
          <w:rFonts w:ascii="Arial" w:hAnsi="Arial" w:cs="Arial"/>
          <w:b/>
          <w:b/>
          <w:bCs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Cs w:val="32"/>
          <w:u w:val="single"/>
        </w:rPr>
      </w:pPr>
      <w:r>
        <w:rPr>
          <w:rFonts w:cs="Arial" w:ascii="Arial" w:hAnsi="Arial"/>
          <w:b/>
          <w:bCs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6" w:name="ABSTRACT_START"/>
      <w:bookmarkEnd w:id="16"/>
      <w:r>
        <w:rPr>
          <w:rFonts w:ascii="Arial" w:hAnsi="Arial" w:cs="Arial"/>
          <w:rtl w:val="true"/>
        </w:rPr>
        <w:t>צחי דגו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על פי הודייתו באישום הראשון בהחזקת נשק שלא כדין אקדח ומחסניות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ביריות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ובגניבה על ידי מציאה – לפי 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4.9.98</w:t>
      </w:r>
      <w:bookmarkStart w:id="17" w:name="ABSTRACT_END"/>
      <w:bookmarkEnd w:id="17"/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באישום השני הוא הורשע לאחר 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ומתן הכרעת דין מפורטת בעבירה של החזקת נשק לפי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')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ופציעה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5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7.9.98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color w:val="FFFFFF"/>
          <w:sz w:val="4"/>
          <w:szCs w:val="4"/>
        </w:rPr>
      </w:pPr>
      <w:r>
        <w:rPr>
          <w:rFonts w:cs="Arial" w:ascii="Arial" w:hAnsi="Arial"/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color w:val="FFFFFF"/>
          <w:sz w:val="4"/>
          <w:szCs w:val="4"/>
        </w:rPr>
      </w:pPr>
      <w:r>
        <w:rPr>
          <w:rFonts w:cs="Arial" w:ascii="Arial" w:hAnsi="Arial"/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בשני האישומים – המדובר באותו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שהוחזק אצל הנאשם מאז יום </w:t>
      </w:r>
      <w:r>
        <w:rPr>
          <w:rFonts w:cs="Arial" w:ascii="Arial" w:hAnsi="Arial"/>
        </w:rPr>
        <w:t>4.9.98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בלא רשות על פי דין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בהכרעת הדין קבעתי כי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הנאשם יחד עם אחר שרפו את התיק בו היה מוחזק הנשק שמלכתחילה נלקח בשוגג על ידי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והנשק היה מוחזק מאז </w:t>
      </w:r>
      <w:r>
        <w:rPr>
          <w:rFonts w:cs="Arial" w:ascii="Arial" w:hAnsi="Arial"/>
        </w:rPr>
        <w:t>4.9.98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אצל הנאשם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לשיטתי – שריפת התיק מצביעה על כוונה להמשיך ולהחזיק בנשק הגנוב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tabs>
          <w:tab w:val="left" w:pos="720" w:leader="none"/>
        </w:tabs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הנאשם ניסוי ובדק אם הנשק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ללמדך – </w:t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כי לא שש להשתחרר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הצעצוע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שנפל לידיו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אחת כמה וכמה – שהוא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ומסוגל להמית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tabs>
          <w:tab w:val="left" w:pos="720" w:leader="none"/>
        </w:tabs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(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7.9.98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בעקבות מריבה שגלשה לשימוש בכֹח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בשלב מסוים </w:t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התרחק הנאשם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המתלונן עזב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חזר ובידו האקדח ועשה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וירה לעבר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וקליע חדר דרך שמשת הרכב הקדמית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ופגע בכתפו השמאלית של המתלונן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(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הנאשם כך כיוון לסיים את המריבה של 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חזר לזירה לאחר שכבר עזבה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מצויד בנשק חש הנאשם בטחון יתר להכנס לעימות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להמשיך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להראות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איך ניתן לסיימו אחרת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(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אין ספק ששימוש בנשק חם בנסיבות האמורות ובלא התגרות נוספת או חדשה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חורג מכל מידה סבירה של הגיון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(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הנאשם בארץ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עברית וגם שירת שרות 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מכיר את ההווי החברתי בארץ וגם יודע היטב מה טיבו של נשק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spacing w:lineRule="auto" w:line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הרב יצחק דגיה – רב העדה האתיופית ברחובות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מאז שנת </w:t>
      </w:r>
      <w:r>
        <w:rPr>
          <w:rFonts w:cs="Arial" w:ascii="Arial" w:hAnsi="Arial"/>
        </w:rPr>
        <w:t>1995</w:t>
      </w:r>
      <w:r>
        <w:rPr>
          <w:rFonts w:cs="Arial" w:ascii="Arial" w:hAnsi="Arial"/>
          <w:rtl w:val="true"/>
        </w:rPr>
        <w:t xml:space="preserve">, </w:t>
        <w:br/>
      </w:r>
      <w:r>
        <w:rPr>
          <w:rFonts w:ascii="Arial" w:hAnsi="Arial" w:cs="Arial"/>
          <w:rtl w:val="true"/>
        </w:rPr>
        <w:t>לימד סניגוריה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היותו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נעים הליכות הגון וישר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עזר ותמך באמו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שהתגרשה מאביו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טעה ועל כך הוא מתחרט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בדעתו להקים משפחה ולהיות אזרח שומר חוק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ביקשני לתת לו הזדמנות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להטיל מאסר ולהסתפק במאסר על תנאי ושל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הוא גם עמד על משמעות הפגיעה בכבוד על פי התפיסה האתיופית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הצורך והחובה להגיב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 שאצל היהודים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 השנים נלחמו כדי להגן על יהדותם צורך זה קיצוני עוד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דבריו על הקושי של בני העדה להשתנות הכאיבו לי וצרמו לאוזניי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אמירתו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לא יבין אם יוטל עליו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ותהא צלקת על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וספק אם יתערה בחברה הישראלית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שלא יוכל ללמוד בבי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באוניברסיטה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מקווה אני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שאינה בגדר נבואה המגשימה את 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הטלת אחריות על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בחינה עצמית מספקת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 על רקע חומרת המעשה לא תיטיב מצבו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תעזור לקליטתו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תשפר את יכולתו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לשיח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 הישראלים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אחד מהם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spacing w:lineRule="auto" w:line="24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spacing w:lineRule="auto" w:line="24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spacing w:lineRule="auto" w:line="24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spacing w:lineRule="auto" w:line="24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אימו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אלמז דגו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שאתחשב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זהבה </w:t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דמוזה סיפרה על חייהם המשותפים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כמנהג בני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והתוכניות להנשא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אליהו דגו סיפר על תקופת המעצר הארוכה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והקושי האובייקטיבי לשהיית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נפשות בדירת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חדרים</w:t>
      </w:r>
      <w:r>
        <w:rPr>
          <w:rFonts w:cs="Arial" w:ascii="Arial" w:hAnsi="Arial"/>
          <w:rtl w:val="true"/>
        </w:rPr>
        <w:t xml:space="preserve">. </w:t>
        <w:br/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מר מולטשודי יועץ ראש העיר לענייני האתיופים ויו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וועד השכונה בקרית משה מסר על כוונתו ורצונו של הנאשם להשתלב בחברה הישראלית ולהתקדם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מר מולטשודי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ידע על מה נשפט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ומתשובותיו לשאלותיי התרשמתי כי הוא לא היה אוסף נשק 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היה מחזיקו בידיו ואם היה נוטל אותו היה מעבירו </w:t>
      </w:r>
      <w:r>
        <w:rPr>
          <w:rFonts w:ascii="Arial" w:hAnsi="Arial" w:cs="Arial"/>
          <w:u w:val="single"/>
          <w:rtl w:val="true"/>
        </w:rPr>
        <w:t>מיד</w:t>
      </w:r>
      <w:r>
        <w:rPr>
          <w:rFonts w:ascii="Arial" w:hAnsi="Arial" w:cs="Arial"/>
          <w:rtl w:val="true"/>
        </w:rPr>
        <w:t xml:space="preserve"> לממסד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למשטרה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ומדוע נהג הנאשם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הסביר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התביעה עמדה על החומרה שבפתרון סכסוכים באמצעות 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וללא קינטור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שימוש בנשק וכדי לפגוע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צפיית התוצאות ורצון בקרותן ולפיכך – עתרה לעונש מאסר ממושך בפועל ומאסר על תנאי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 גם הסתמך על האמור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המאסר נועד כדי להרתיע ולהתריע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משום שהנאשם לא מכיר בחלקים האלימים בהתנהגותו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משום שהשימוש בנשק נתפס בעיניו טריוויאלי מסוכנותו גדלה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התייחס לעמדתו של רב העדה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יהיה קשה להשתנות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שחי שנים ארוכות בארץ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עשה שרות 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והטיל ספק בהערכת הרב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והערכתו כי הנאשם הסתגל וחי בארץ על פי מנהגיה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בוחר דרכיו – ומחליט כתפיסתו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בנסיבות הללו – לדבריו המנעות שרות המבחן מלהמליץ – עולה בקנה אחד עם חוסר רצון לקחת אחריות למסוכנות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וחוסר שיתוף הפעולה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ארכות רבות שניתנו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הוגשה לי פסיקה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קפלינסקי חזר על דברים ששמע מפי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אפשרות לקבלת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 לענין העדתי ולקושי של נאשם זה ליצור איתו תקשורת טובה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דיבר על תחושה של קיפוח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נורמות חיים שהנאשם לא יכול להשתחרר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נורמות חדשות – שלא מובָנות ולא מופנמות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הוא גם ביקש לקחת בחשבון את תקופת מעצר הבית ואת התנאים הקשים כנסיבה נוספת את העוני והמחסור ואת הצורך בתמיכה באם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בכל אלו יש להאיר על הקושי בו היה נתון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הצורך להקל </w:t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עליו בעונשו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הוא עמד על גילו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גיל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בוצעו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התייחס להכרעת הדין שם עמדתי על ההתגרות שהביאה לאירוע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שבשלב העונש אקח בחשבון את המריבות שהביאו להסלמת היחסים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להתפרצות הקשה שבאה לידי ביטוי בתיק שבפניי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מתקופת שרותו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וריצה 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מחבוש על העדר מהשירות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עריקות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עלה ארצה בגיל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 עם אחותו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ניתן ללמוד על המצוקה בתקופת מעצר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תחושתו של הנאשם כי הוא מופלה לרעה בין הילדים האחרים של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שאינם אֶחיו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גם נלמד שהנאשם שֵרת שנה בצבא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ושוחרר לאחר עריקות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וגם כאן – האשים הנאשם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חוסר הגמישות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המסגרת הצבאית כסיבה לשחרורו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והתקשה לראות את חלקו ואת הקושי שלו להסתגל לתנאים ולמסגרת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בפני קצין המבחן התקשה לקחת אחריות על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ולבדוק את חלקו בה וגם סרב להפנים הצורך בטיפול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והצהיר שאינו בחור אלים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חש בעייתיות בתחום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והערכת שרות המבחן שתגובתו האלימה היא על רקע מצוקה רגשית בהתחשב במוצאו האתיופי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תחושת השפלה ופגיעה בדימויו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שמביאים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ושוב תולה התנהגותו – בגורמים חיצוניים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נעתרתי לבקשת שרות המבחן לדחיה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ובתקופה של כחודש לא נצפה שינוי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שינוי בהתייחסות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לקח אחריות לביצועה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לא מצא מקום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וההתרשמות היתה שכנראה לא הושקע מאמץ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לקחת אחריות וליזום פעולה לשינוי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 – למרות המצוקה הרגשית – אין המלצה טיפולית וגם הנאשם עצמו – לא הביע נזקקות להתערבות שכזו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מכל האמור – לא ברור 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מדוע סבור היה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קפלינסקי שלא ניתנה לנאשם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הזדמנות נוספת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אצל שרות המבחן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וצער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שלמד לקח ממה שעשה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שסבל מספיק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הזדמנות נוספת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 ייתכן שכל ויכוח מילולי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יהא הרקע שלו אשר יהא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יסתיים בדקירות המסכנות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מבלי שאלה הנוהגים כך יבואו על עונשם</w:t>
      </w:r>
      <w:r>
        <w:rPr>
          <w:rFonts w:cs="Arial" w:ascii="Arial" w:hAnsi="Arial"/>
          <w:b/>
          <w:bCs/>
          <w:rtl w:val="true"/>
        </w:rPr>
        <w:t>"</w:t>
        <w:br/>
        <w:t>(</w:t>
      </w:r>
      <w:hyperlink r:id="rId16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1035/91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שביטה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ascii="Arial" w:hAnsi="Arial" w:cs="Arial"/>
          <w:rtl w:val="true"/>
        </w:rPr>
        <w:t>– תק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עליון </w:t>
      </w:r>
      <w:r>
        <w:rPr>
          <w:rFonts w:cs="Arial" w:ascii="Arial" w:hAnsi="Arial"/>
        </w:rPr>
        <w:t>91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2452</w:t>
      </w:r>
      <w:r>
        <w:rPr>
          <w:rFonts w:cs="Arial" w:ascii="Arial" w:hAnsi="Arial"/>
          <w:rtl w:val="true"/>
        </w:rPr>
        <w:t>).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rtl w:val="true"/>
        </w:rPr>
        <w:t>ואם כך לגבי דקירת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אחת כמה וכמה כשהמדובר בשימוש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שתוצאותיו יכולות להיות קטלניות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עיינתי בצרור התקדימים שהוצגו לי על ידי התביעה ועל ידי הסניגוריה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ובקביעת העונש אקח בחשבון הנאמר שם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בבואי לשקול העונש הראוי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לחומרה תחשב לו לנאשם טיב העבירה בה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שלצידה פגיעה וסיכון חיי אדם תוך שימוש בנשק וחומרה יתרה נלמדת מעצם נטילת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החסות על הנשק האבוד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בדיקת תקינותו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החזקתו ושימוש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בידיעה ברורה מהי התוצאה של מעשה שכזה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חומרה נוספת יש בכך שהנאשם </w:t>
      </w:r>
      <w:r>
        <w:rPr>
          <w:rFonts w:ascii="Arial" w:hAnsi="Arial" w:cs="Arial"/>
          <w:u w:val="single"/>
          <w:rtl w:val="true"/>
        </w:rPr>
        <w:t>בחר</w:t>
      </w:r>
      <w:r>
        <w:rPr>
          <w:rFonts w:ascii="Arial" w:hAnsi="Arial" w:cs="Arial"/>
          <w:rtl w:val="true"/>
        </w:rPr>
        <w:t xml:space="preserve"> בדרך התנהגות זו כאשר החליט להשאיר הנשק ברשותו ולא להחזירו מיד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להניח – שתחושת הכֹח היא שהניעה אותו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לקולא ייחשב לו לנאשם 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ותקופת המעצר הארוכה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ובמידה מזערית נלקחות בחשבון נסיבותיו האישיות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 מקובלת עלי ההצהרה כי הנאשם מביא אתו את מנהגי השבט ולא יכול להשתחרר מהם ולכן גם לא יוכל להפנים את הפליליות שמעשיו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והסיכון שבשימוש בנשק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בארץ מגיל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חי בחברה הישראלית וגם היה כשנה בצבא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ייתכן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שמקדם ההסתגלות שלו איטי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כשם שבכל עדה ובכל ציבור יש מי שלוקחים על עצמם אחריות – ויש מי שמשליכים האחריות החוצה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הסובבים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נראה לי שהנאשם לא מנסה להתאקלם ומגזים בעשיית שימוש בנימוק העדתי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שכאשר מטיל אחריות על הוריו בשל התעלמות רגשית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גורמים בצבא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שבגינם לא הסתגל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גורמים בשכונה – שבגינם הסתבך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כך לידי ביטוי קו באופיו ובהתנהגותו</w:t>
      </w:r>
      <w:r>
        <w:rPr>
          <w:rFonts w:cs="Arial" w:ascii="Arial" w:hAnsi="Arial"/>
          <w:rtl w:val="true"/>
        </w:rPr>
        <w:t xml:space="preserve">, </w:t>
        <w:br/>
      </w:r>
      <w:r>
        <w:rPr>
          <w:rFonts w:ascii="Arial" w:hAnsi="Arial" w:cs="Arial"/>
          <w:rtl w:val="true"/>
        </w:rPr>
        <w:t>ולאו דווקא – ביטויים למציאות הסובבת אותו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כאשר עוסקים אנו בעבירות הקשורות להחזקת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ופציעה בנסיבות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רק נס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שהמתלונן נפגע בכתף שמאל ולא למטה ממנה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פציעה שהיתה יכולה לסכן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ניתן לאמץ טיעוני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אפליה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ובכך ליצור אנרכיה במדינת חוק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האיסור החד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משמעי להשתמש בנשק חם או בנשק קר – אין להתפשר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ובתי המשפט צריכים להעניש על פי חומרת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ואולי כך 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יפעפע האיסור המוחלט לפגוע בגופו של אחר ובכל דרך שהיא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שותפו של הנאשם לאישום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התחייבות ופיקוח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עניינו האישי – שונה מעניינו של הנאשם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הוא בדק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הוא שהמשיך להחזיק בו והוא צעיר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שֵרת בצבא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מכך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נפרד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מהנשק לפני שנעשה בו שימוש לפגוע בגופו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היה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איתו טיב מעשיו ולהניח – שהליך טיפולי שיקומי – יתרום להרחקתו בעתיד מהסתבכות עם החוק </w:t>
      </w:r>
      <w:r>
        <w:rPr>
          <w:rFonts w:cs="Arial" w:ascii="Arial" w:hAnsi="Arial"/>
          <w:rtl w:val="true"/>
        </w:rPr>
        <w:t xml:space="preserve">- </w:t>
        <w:br/>
      </w:r>
      <w:r>
        <w:rPr>
          <w:rFonts w:ascii="Arial" w:hAnsi="Arial" w:cs="Arial"/>
          <w:rtl w:val="true"/>
        </w:rPr>
        <w:t>מה שלא ניתן לומר על הנאשם שבפניי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spacing w:lineRule="auto" w:line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בהתחשב בכל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מנת שיהא ברור שמחלוקות יש לפתור במשא ומתן ולא באלימות מסוג כלשהוא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מטילה אני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צחי דגו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בגין האישום הראשון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אותם לא ישא אלא אם כן יעבור עבירת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איומים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</w:t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והחל מהיום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בגין האישום השני מטילה אני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כל עבירת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איומים או החזקת נשק ונשיאתו 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נסיון או סיוע לבצע כל אחת מהעבירות שבתנאי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מן המאסר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תקופות המאסר תצטברנה זו לזו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יירצה בגין 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  <w:b/>
          <w:bCs/>
        </w:rPr>
        <w:t>3106/98</w:t>
      </w:r>
      <w:r>
        <w:rPr>
          <w:rFonts w:cs="Arial" w:ascii="Arial" w:hAnsi="Arial"/>
          <w:b/>
          <w:bCs/>
          <w:rtl w:val="true"/>
        </w:rPr>
        <w:t xml:space="preserve"> –</w:t>
        <w:br/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נשק ומחסניות שנתפסו – יוחזרו לבעלים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left" w:pos="720" w:leader="none"/>
        </w:tabs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כל שאר המוצגים – יושמדו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left" w:pos="720" w:leader="none"/>
        </w:tabs>
        <w:spacing w:before="0" w:after="12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לבית המשפט המחוזי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120"/>
        <w:ind w:end="0"/>
        <w:jc w:val="start"/>
        <w:rPr/>
      </w:pPr>
      <w:r>
        <w:rPr>
          <w:rtl w:val="true"/>
        </w:rPr>
        <w:t>ניתן היום ט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בינואר </w:t>
      </w:r>
      <w:r>
        <w:rPr/>
        <w:t>2001</w:t>
      </w:r>
      <w:r>
        <w:rPr>
          <w:rtl w:val="true"/>
        </w:rPr>
        <w:t xml:space="preserve">) </w:t>
      </w:r>
      <w:r>
        <w:rPr>
          <w:rtl w:val="true"/>
        </w:rPr>
        <w:t>במעמד הצדדים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ליה לב און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cs="Arial" w:ascii="Arial" w:hAnsi="Arial"/>
          <w:sz w:val="22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cs="Arial" w:ascii="Arial" w:hAnsi="Arial"/>
          <w:sz w:val="22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 w:val="22"/>
          <w:szCs w:val="24"/>
          <w:rtl w:val="true"/>
        </w:rPr>
        <w:t>עו</w:t>
      </w:r>
      <w:r>
        <w:rPr>
          <w:rFonts w:cs="Arial" w:ascii="Arial" w:hAnsi="Arial"/>
          <w:sz w:val="22"/>
          <w:szCs w:val="24"/>
          <w:rtl w:val="true"/>
        </w:rPr>
        <w:t>"</w:t>
      </w:r>
      <w:r>
        <w:rPr>
          <w:rFonts w:ascii="Arial" w:hAnsi="Arial" w:cs="Arial"/>
          <w:sz w:val="22"/>
          <w:sz w:val="22"/>
          <w:szCs w:val="24"/>
          <w:rtl w:val="true"/>
        </w:rPr>
        <w:t>ד אדווה</w:t>
      </w:r>
      <w:r>
        <w:rPr>
          <w:rFonts w:cs="Arial" w:ascii="Arial" w:hAnsi="Arial"/>
          <w:sz w:val="22"/>
          <w:szCs w:val="24"/>
          <w:rtl w:val="true"/>
        </w:rPr>
        <w:t xml:space="preserve">: </w:t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 w:val="22"/>
          <w:szCs w:val="24"/>
          <w:rtl w:val="true"/>
        </w:rPr>
        <w:t>אבקש עיכוב ביצוע לתקופה של שבועיים שלושה כדי להגיש ערעור לבית המשפט המחוזי</w:t>
      </w:r>
      <w:r>
        <w:rPr>
          <w:rFonts w:cs="Arial" w:ascii="Arial" w:hAnsi="Arial"/>
          <w:sz w:val="22"/>
          <w:szCs w:val="24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4"/>
          <w:rtl w:val="true"/>
        </w:rPr>
        <w:t>אנו מבקשים דחייה קצרה על  מנת שביהמ</w:t>
      </w:r>
      <w:r>
        <w:rPr>
          <w:rFonts w:cs="Arial" w:ascii="Arial" w:hAnsi="Arial"/>
          <w:sz w:val="22"/>
          <w:szCs w:val="24"/>
          <w:rtl w:val="true"/>
        </w:rPr>
        <w:t>"</w:t>
      </w:r>
      <w:r>
        <w:rPr>
          <w:rFonts w:ascii="Arial" w:hAnsi="Arial" w:cs="Arial"/>
          <w:sz w:val="22"/>
          <w:sz w:val="22"/>
          <w:szCs w:val="24"/>
          <w:rtl w:val="true"/>
        </w:rPr>
        <w:t>ש המחוזי הוא שיחליט אם יהיה עכוב ביצוע בגין בקשת הערעור</w:t>
      </w:r>
      <w:r>
        <w:rPr>
          <w:rFonts w:cs="Arial" w:ascii="Arial" w:hAnsi="Arial"/>
          <w:sz w:val="22"/>
          <w:szCs w:val="24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4"/>
          <w:rtl w:val="true"/>
        </w:rPr>
        <w:t>הוא במעצר בית תקופה ארוכה אפשר ליתן בו אמון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4"/>
          <w:rtl w:val="true"/>
        </w:rPr>
        <w:t>אבקש להשאיר את התנאים בהם שוחרר עד שתוגש הבקשה והתגובה</w:t>
      </w:r>
      <w:r>
        <w:rPr>
          <w:rFonts w:cs="Arial" w:ascii="Arial" w:hAnsi="Arial"/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cs="Arial" w:ascii="Arial" w:hAnsi="Arial"/>
          <w:sz w:val="22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 w:val="22"/>
          <w:szCs w:val="24"/>
          <w:rtl w:val="true"/>
        </w:rPr>
        <w:t>התובעת</w:t>
      </w:r>
      <w:r>
        <w:rPr>
          <w:rFonts w:cs="Arial" w:ascii="Arial" w:hAnsi="Arial"/>
          <w:sz w:val="22"/>
          <w:szCs w:val="24"/>
          <w:rtl w:val="true"/>
        </w:rPr>
        <w:t xml:space="preserve">: </w:t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 w:val="22"/>
          <w:szCs w:val="24"/>
          <w:rtl w:val="true"/>
        </w:rPr>
        <w:t>הנאשם ידע שילך היום למאסר בהסתברות גבוהה</w:t>
      </w:r>
      <w:r>
        <w:rPr>
          <w:rFonts w:cs="Arial" w:ascii="Arial" w:hAnsi="Arial"/>
          <w:sz w:val="22"/>
          <w:szCs w:val="24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4"/>
          <w:rtl w:val="true"/>
        </w:rPr>
        <w:t>בנסיבות של תיק זה סיכוניי הערעור קלושים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4"/>
          <w:rtl w:val="true"/>
        </w:rPr>
        <w:t>תוכל חברתי להגיש בקשה לדיון מוקדם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4"/>
          <w:rtl w:val="true"/>
        </w:rPr>
        <w:t>אך אם בית המשפט יעתר לבקשה אבקש ערבויות כבדות</w:t>
      </w:r>
      <w:r>
        <w:rPr>
          <w:rFonts w:cs="Arial" w:ascii="Arial" w:hAnsi="Arial"/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cs="Arial" w:ascii="Arial" w:hAnsi="Arial"/>
          <w:sz w:val="22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 w:val="22"/>
          <w:szCs w:val="24"/>
          <w:rtl w:val="true"/>
        </w:rPr>
        <w:t>הסניגורית</w:t>
      </w:r>
      <w:r>
        <w:rPr>
          <w:rFonts w:cs="Arial" w:ascii="Arial" w:hAnsi="Arial"/>
          <w:sz w:val="22"/>
          <w:szCs w:val="24"/>
          <w:rtl w:val="true"/>
        </w:rPr>
        <w:t xml:space="preserve">: </w:t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 w:val="22"/>
          <w:szCs w:val="24"/>
          <w:rtl w:val="true"/>
        </w:rPr>
        <w:t xml:space="preserve">קיימת ערבות של </w:t>
      </w:r>
      <w:r>
        <w:rPr>
          <w:rFonts w:cs="Arial" w:ascii="Arial" w:hAnsi="Arial"/>
          <w:sz w:val="22"/>
          <w:szCs w:val="24"/>
        </w:rPr>
        <w:t>5000</w:t>
      </w:r>
      <w:r>
        <w:rPr>
          <w:rFonts w:cs="Arial" w:ascii="Arial" w:hAnsi="Arial"/>
          <w:sz w:val="22"/>
          <w:szCs w:val="24"/>
          <w:rtl w:val="true"/>
        </w:rPr>
        <w:t xml:space="preserve"> ₪ </w:t>
      </w:r>
      <w:r>
        <w:rPr>
          <w:rFonts w:ascii="Arial" w:hAnsi="Arial" w:cs="Arial"/>
          <w:sz w:val="22"/>
          <w:sz w:val="22"/>
          <w:szCs w:val="24"/>
          <w:rtl w:val="true"/>
        </w:rPr>
        <w:t>במזומן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4"/>
          <w:rtl w:val="true"/>
        </w:rPr>
        <w:t>וכן ערבות עצמות וצד ג</w:t>
      </w:r>
      <w:r>
        <w:rPr>
          <w:rFonts w:cs="Arial" w:ascii="Arial" w:hAnsi="Arial"/>
          <w:sz w:val="22"/>
          <w:szCs w:val="24"/>
          <w:rtl w:val="true"/>
        </w:rPr>
        <w:t xml:space="preserve">'. </w:t>
      </w:r>
      <w:r>
        <w:rPr>
          <w:rFonts w:ascii="Arial" w:hAnsi="Arial" w:cs="Arial"/>
          <w:sz w:val="22"/>
          <w:sz w:val="22"/>
          <w:szCs w:val="24"/>
          <w:rtl w:val="true"/>
        </w:rPr>
        <w:t>ערבות נוספת של המשפחה תכביד על המשפחה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4"/>
          <w:rtl w:val="true"/>
        </w:rPr>
        <w:t>בפרט לנוכח מצבו הכלכלי הקשה של הנאשם לנוכח היותו במעצר בית</w:t>
      </w:r>
      <w:r>
        <w:rPr>
          <w:rFonts w:cs="Arial" w:ascii="Arial" w:hAnsi="Arial"/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 w:val="22"/>
          <w:szCs w:val="24"/>
          <w:rtl w:val="true"/>
        </w:rPr>
        <w:t>יש ליתן לבית המשפט המחוזי להחליט גם לגבי סיכויי הערעור</w:t>
      </w:r>
      <w:r>
        <w:rPr>
          <w:rFonts w:cs="Arial" w:ascii="Arial" w:hAnsi="Arial"/>
          <w:sz w:val="22"/>
          <w:szCs w:val="24"/>
          <w:rtl w:val="true"/>
        </w:rPr>
        <w:t xml:space="preserve">. </w:t>
      </w:r>
    </w:p>
    <w:p>
      <w:pPr>
        <w:pStyle w:val="Heading"/>
        <w:ind w:end="0"/>
        <w:jc w:val="center"/>
        <w:rPr>
          <w:rFonts w:ascii="Arial" w:hAnsi="Arial" w:cs="Arial"/>
          <w:sz w:val="22"/>
          <w:szCs w:val="24"/>
        </w:rPr>
      </w:pPr>
      <w:r>
        <w:rPr>
          <w:rFonts w:cs="Arial" w:ascii="Arial" w:hAnsi="Arial"/>
          <w:sz w:val="22"/>
          <w:szCs w:val="24"/>
          <w:rtl w:val="true"/>
        </w:rPr>
      </w:r>
      <w:bookmarkStart w:id="18" w:name="Decision1"/>
      <w:bookmarkStart w:id="19" w:name="Decision1"/>
      <w:bookmarkEnd w:id="19"/>
    </w:p>
    <w:p>
      <w:pPr>
        <w:pStyle w:val="Heading"/>
        <w:ind w:end="0"/>
        <w:jc w:val="center"/>
        <w:rPr/>
      </w:pPr>
      <w:r>
        <w:rPr>
          <w:rtl w:val="true"/>
        </w:rPr>
        <w:t>החלטה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111/99</w:t>
        </w:r>
      </w:hyperlink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תוקפן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cs="Arial" w:ascii="Arial" w:hAnsi="Arial"/>
          <w:sz w:val="22"/>
          <w:szCs w:val="24"/>
          <w:rtl w:val="true"/>
        </w:rPr>
      </w:r>
      <w:bookmarkStart w:id="20" w:name="Decision1"/>
      <w:bookmarkStart w:id="21" w:name="Decision1"/>
      <w:bookmarkEnd w:id="21"/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cs="Arial" w:ascii="Arial" w:hAnsi="Arial"/>
          <w:sz w:val="22"/>
          <w:szCs w:val="24"/>
        </w:rPr>
        <w:t>003106/98</w:t>
      </w:r>
      <w:r>
        <w:rPr>
          <w:rFonts w:ascii="Arial" w:hAnsi="Arial" w:cs="Arial"/>
          <w:sz w:val="22"/>
          <w:sz w:val="22"/>
          <w:szCs w:val="24"/>
          <w:rtl w:val="true"/>
        </w:rPr>
        <w:t xml:space="preserve">פ  </w:t>
      </w:r>
      <w:r>
        <w:rPr>
          <w:rFonts w:cs="Arial" w:ascii="Arial" w:hAnsi="Arial"/>
          <w:sz w:val="22"/>
          <w:szCs w:val="24"/>
        </w:rPr>
        <w:t>133</w:t>
      </w:r>
      <w:r>
        <w:rPr>
          <w:rFonts w:cs="Arial" w:ascii="Arial" w:hAnsi="Arial"/>
          <w:sz w:val="22"/>
          <w:szCs w:val="24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4"/>
          <w:rtl w:val="true"/>
        </w:rPr>
        <w:t>יפה</w:t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 w:val="22"/>
          <w:szCs w:val="24"/>
          <w:rtl w:val="true"/>
        </w:rPr>
        <w:t>נוסח מסמך זה כפוף לשינויי ניסוח ועריכה</w:t>
      </w:r>
    </w:p>
    <w:sectPr>
      <w:headerReference w:type="default" r:id="rId20"/>
      <w:footerReference w:type="default" r:id="rId2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/Users/liorb/Downloads/study2025-p2/s98003106-72.doc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3106/98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דגו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צחי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Cs w:val="3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tabs>
        <w:tab w:val="left" w:pos="720" w:leader="none"/>
      </w:tabs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34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case/17910331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678234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2018-08-05T15:06:00Z</dcterms:created>
  <dc:creator> </dc:creator>
  <dc:description/>
  <cp:keywords/>
  <dc:language>en-IL</dc:language>
  <cp:lastModifiedBy>run</cp:lastModifiedBy>
  <cp:lastPrinted>2001-01-01T09:53:00Z</cp:lastPrinted>
  <dcterms:modified xsi:type="dcterms:W3CDTF">2018-08-05T15:06:00Z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דגו צחי</vt:lpwstr>
  </property>
  <property fmtid="{D5CDD505-2E9C-101B-9397-08002B2CF9AE}" pid="4" name="CASESLISTTMP1">
    <vt:lpwstr>17910331;5678234</vt:lpwstr>
  </property>
  <property fmtid="{D5CDD505-2E9C-101B-9397-08002B2CF9AE}" pid="5" name="CITY">
    <vt:lpwstr>רח'</vt:lpwstr>
  </property>
  <property fmtid="{D5CDD505-2E9C-101B-9397-08002B2CF9AE}" pid="6" name="DATE">
    <vt:lpwstr>20010104</vt:lpwstr>
  </property>
  <property fmtid="{D5CDD505-2E9C-101B-9397-08002B2CF9AE}" pid="7" name="ISABSTRACT">
    <vt:lpwstr>Y</vt:lpwstr>
  </property>
  <property fmtid="{D5CDD505-2E9C-101B-9397-08002B2CF9AE}" pid="8" name="JUDGE">
    <vt:lpwstr>ליה לב און</vt:lpwstr>
  </property>
  <property fmtid="{D5CDD505-2E9C-101B-9397-08002B2CF9AE}" pid="9" name="LAWLISTTMP1">
    <vt:lpwstr>70301/144.a:2;340a;384;334;335.a.1;144</vt:lpwstr>
  </property>
  <property fmtid="{D5CDD505-2E9C-101B-9397-08002B2CF9AE}" pid="10" name="LAWYER">
    <vt:lpwstr>גלאובך;אדווה ויצמן;פלנסקי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3106</vt:lpwstr>
  </property>
  <property fmtid="{D5CDD505-2E9C-101B-9397-08002B2CF9AE}" pid="28" name="PROCYEAR">
    <vt:lpwstr>98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10</vt:lpwstr>
  </property>
</Properties>
</file>