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81"/>
        <w:gridCol w:w="559"/>
        <w:gridCol w:w="121"/>
        <w:gridCol w:w="2279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1120-07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חצמיאס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8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יצחק חמיאס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גור אריה קרמיצר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אין התייצבות למאשימה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bookmarkStart w:id="5" w:name="PsakDin"/>
      <w:bookmarkEnd w:id="5"/>
      <w:r>
        <w:rPr>
          <w:u w:val="single"/>
          <w:rtl w:val="true"/>
        </w:rPr>
        <w:t>רקע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בי</w:t>
      </w:r>
      <w:bookmarkStart w:id="6" w:name="ABSTRACT_START"/>
      <w:bookmarkEnd w:id="6"/>
      <w:r>
        <w:rPr>
          <w:rtl w:val="true"/>
        </w:rPr>
        <w:t xml:space="preserve">ום </w:t>
      </w:r>
      <w:r>
        <w:rPr/>
        <w:t>16.11.08</w:t>
      </w:r>
      <w:r>
        <w:rPr>
          <w:rtl w:val="true"/>
        </w:rPr>
        <w:t xml:space="preserve"> </w:t>
      </w:r>
      <w:r>
        <w:rPr>
          <w:rtl w:val="true"/>
        </w:rPr>
        <w:t>הורשע הנאשם על פי הודאתו בעובדות כתב אישום מחודש 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bookmarkStart w:id="7" w:name="ABSTRACT_END"/>
      <w:bookmarkEnd w:id="7"/>
      <w:r>
        <w:rPr>
          <w:rtl w:val="true"/>
        </w:rPr>
        <w:t xml:space="preserve">על פי עובדות כתב האישום ביום </w:t>
      </w:r>
      <w:r>
        <w:rPr/>
        <w:t>22.2.05</w:t>
      </w:r>
      <w:r>
        <w:rPr>
          <w:rtl w:val="true"/>
        </w:rPr>
        <w:t xml:space="preserve">, </w:t>
      </w:r>
      <w:r>
        <w:rPr>
          <w:rtl w:val="true"/>
        </w:rPr>
        <w:t>החזיק הנאשם בביתו בעיר לוד</w:t>
      </w:r>
      <w:r>
        <w:rPr>
          <w:rtl w:val="true"/>
        </w:rPr>
        <w:t>,</w:t>
      </w:r>
      <w:r>
        <w:rPr>
          <w:b/>
          <w:bCs/>
          <w:i/>
          <w:iCs/>
          <w:rtl w:val="true"/>
        </w:rPr>
        <w:t xml:space="preserve"> </w:t>
      </w:r>
      <w:r>
        <w:rPr>
          <w:rtl w:val="true"/>
        </w:rPr>
        <w:t>נשק ותחמושת</w:t>
      </w:r>
      <w:r>
        <w:rPr>
          <w:rtl w:val="true"/>
        </w:rPr>
        <w:t xml:space="preserve">, </w:t>
      </w:r>
      <w:r>
        <w:rPr>
          <w:rtl w:val="true"/>
        </w:rPr>
        <w:t>מוטמנים בגרב בתוך שקית בחדר הכביסה</w:t>
      </w:r>
      <w:r>
        <w:rPr>
          <w:rtl w:val="true"/>
        </w:rPr>
        <w:t xml:space="preserve">. </w:t>
      </w:r>
      <w:r>
        <w:rPr>
          <w:rtl w:val="true"/>
        </w:rPr>
        <w:t>הנשק והתחמושת כללו אקדח ומחסנית הטעונה בשבעה 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תסקיר שירות המבחן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בענינו של הנאשם נתקבל תסקיר שירות המבחן</w:t>
      </w:r>
      <w:r>
        <w:rPr>
          <w:rtl w:val="true"/>
        </w:rPr>
        <w:t xml:space="preserve">. </w:t>
      </w:r>
      <w:r>
        <w:rPr>
          <w:rtl w:val="true"/>
        </w:rPr>
        <w:t>התסקיר הינו חיובי לכל הדעות</w:t>
      </w:r>
      <w:r>
        <w:rPr>
          <w:rtl w:val="true"/>
        </w:rPr>
        <w:t xml:space="preserve">. </w:t>
      </w:r>
      <w:r>
        <w:rPr>
          <w:rtl w:val="true"/>
        </w:rPr>
        <w:t>לפי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הנאשם הינו בן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לילד</w:t>
      </w:r>
      <w:r>
        <w:rPr>
          <w:rtl w:val="true"/>
        </w:rPr>
        <w:t xml:space="preserve">, </w:t>
      </w:r>
      <w:r>
        <w:rPr>
          <w:rtl w:val="true"/>
        </w:rPr>
        <w:t>מצפה ללידת ילד נוסף ועובד כנהג משאית</w:t>
      </w:r>
      <w:r>
        <w:rPr>
          <w:rtl w:val="true"/>
        </w:rPr>
        <w:t xml:space="preserve">. </w:t>
      </w:r>
      <w:r>
        <w:rPr>
          <w:rtl w:val="true"/>
        </w:rPr>
        <w:t>לפי התסקיר בעברו השתמש הנאשם בסמים</w:t>
      </w:r>
      <w:r>
        <w:rPr>
          <w:rtl w:val="true"/>
        </w:rPr>
        <w:t xml:space="preserve">, </w:t>
      </w:r>
      <w:r>
        <w:rPr>
          <w:rtl w:val="true"/>
        </w:rPr>
        <w:t>ובשל כך אף הורשע ונדון לעונשים שונים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לפי שירות המבחן</w:t>
      </w:r>
      <w:r>
        <w:rPr>
          <w:rtl w:val="true"/>
        </w:rPr>
        <w:t xml:space="preserve">, </w:t>
      </w:r>
      <w:r>
        <w:rPr>
          <w:rtl w:val="true"/>
        </w:rPr>
        <w:t>השתקם הנאשם ומתפקד הן מבחינה משפחתית והן מבחינה תעסוקתית באופן תקין</w:t>
      </w:r>
      <w:r>
        <w:rPr>
          <w:rtl w:val="true"/>
        </w:rPr>
        <w:t xml:space="preserve">. </w:t>
      </w:r>
      <w:r>
        <w:rPr>
          <w:rtl w:val="true"/>
        </w:rPr>
        <w:t>בדיקת סמים שנערכה לנאשם נמצאה נקיה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מציין כי לדברי הנאשם החזיק את הנשק בפברואר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לצרכי הגנה עצמית</w:t>
      </w:r>
      <w:r>
        <w:rPr>
          <w:rtl w:val="true"/>
        </w:rPr>
        <w:t xml:space="preserve">, </w:t>
      </w:r>
      <w:r>
        <w:rPr>
          <w:rtl w:val="true"/>
        </w:rPr>
        <w:t>לאור מעורבותו אז בחברה עבריינית</w:t>
      </w:r>
      <w:r>
        <w:rPr>
          <w:rtl w:val="true"/>
        </w:rPr>
        <w:t xml:space="preserve">. </w:t>
      </w:r>
      <w:r>
        <w:rPr>
          <w:rtl w:val="true"/>
        </w:rPr>
        <w:t>הנאשם ביטא נכונות להשתלב בתהליך טיפולי בשירות המבחן</w:t>
      </w:r>
      <w:r>
        <w:rPr>
          <w:rtl w:val="true"/>
        </w:rPr>
        <w:t xml:space="preserve">. </w:t>
      </w:r>
      <w:r>
        <w:rPr>
          <w:rtl w:val="true"/>
        </w:rPr>
        <w:t>לנוכח האמור לעיל</w:t>
      </w:r>
      <w:r>
        <w:rPr>
          <w:rtl w:val="true"/>
        </w:rPr>
        <w:t xml:space="preserve">, </w:t>
      </w:r>
      <w:r>
        <w:rPr>
          <w:rtl w:val="true"/>
        </w:rPr>
        <w:t>המליץ שירות המבחן לאפשר לנאשם מגמה שיקומית</w:t>
      </w:r>
      <w:r>
        <w:rPr>
          <w:rtl w:val="true"/>
        </w:rPr>
        <w:t xml:space="preserve">, </w:t>
      </w:r>
      <w:r>
        <w:rPr>
          <w:rtl w:val="true"/>
        </w:rPr>
        <w:t xml:space="preserve">ולהסתפק בעונש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 שירות לתועלת הציבור</w:t>
      </w:r>
      <w:r>
        <w:rPr>
          <w:rtl w:val="true"/>
        </w:rPr>
        <w:t xml:space="preserve">, </w:t>
      </w:r>
      <w:r>
        <w:rPr>
          <w:rtl w:val="true"/>
        </w:rPr>
        <w:t>לצד מאסר מותנה והעמדת הנאשם בפיקוח שירות המבחן למשך 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טיעוני הצדדים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לטענת המאשימה העבירה של החזקת נשק הינה עבירה חמורה ונפוצה</w:t>
      </w:r>
      <w:r>
        <w:rPr>
          <w:rtl w:val="true"/>
        </w:rPr>
        <w:t xml:space="preserve">, </w:t>
      </w:r>
      <w:r>
        <w:rPr>
          <w:rtl w:val="true"/>
        </w:rPr>
        <w:t>אשר פוטנציאל הפגיעה בציבור בעקבותיה הינו רב</w:t>
      </w:r>
      <w:r>
        <w:rPr>
          <w:rtl w:val="true"/>
        </w:rPr>
        <w:t xml:space="preserve">. </w:t>
      </w:r>
      <w:r>
        <w:rPr>
          <w:rtl w:val="true"/>
        </w:rPr>
        <w:t>לטענת התביעה</w:t>
      </w:r>
      <w:r>
        <w:rPr>
          <w:rtl w:val="true"/>
        </w:rPr>
        <w:t xml:space="preserve">, </w:t>
      </w:r>
      <w:r>
        <w:rPr>
          <w:rtl w:val="true"/>
        </w:rPr>
        <w:t>אין לקבל את טענת הנאשם לפיה הנשק הוחזק למטרות הגנה עצמית</w:t>
      </w:r>
      <w:r>
        <w:rPr>
          <w:rtl w:val="true"/>
        </w:rPr>
        <w:t xml:space="preserve">, </w:t>
      </w:r>
      <w:r>
        <w:rPr>
          <w:rtl w:val="true"/>
        </w:rPr>
        <w:t>ופן נוסף של חומרה קיים בכך שהנשק היה טעון</w:t>
      </w:r>
      <w:r>
        <w:rPr>
          <w:rtl w:val="true"/>
        </w:rPr>
        <w:t xml:space="preserve">. </w:t>
      </w:r>
      <w:r>
        <w:rPr>
          <w:rtl w:val="true"/>
        </w:rPr>
        <w:t>עוד ציינה התביעה לחומרה את העובדה שלחובת הנאשם עבר פלילי מכביד בעבירות סמים</w:t>
      </w:r>
      <w:r>
        <w:rPr>
          <w:rtl w:val="true"/>
        </w:rPr>
        <w:t xml:space="preserve">, </w:t>
      </w:r>
      <w:r>
        <w:rPr>
          <w:rtl w:val="true"/>
        </w:rPr>
        <w:t>וכי הנאשם ריצה בעברו עבודות שירות וכן מאסר בפועל</w:t>
      </w:r>
      <w:r>
        <w:rPr>
          <w:rtl w:val="true"/>
        </w:rPr>
        <w:t xml:space="preserve">. </w:t>
      </w:r>
      <w:r>
        <w:rPr>
          <w:rtl w:val="true"/>
        </w:rPr>
        <w:t>התביעה הפנתה בטיעוניה לפסיקה לפיה העונש הראוי לעבירות מסוג זה הינו מאסר בפועל מאחורי סורג ובריח וכן מאסר על תנאי וקנס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ולחילופין להסתפק בהטלת עונש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וכן להטיל על הנאשם פיקוח שירות מבחן</w:t>
      </w:r>
      <w:r>
        <w:rPr>
          <w:rtl w:val="true"/>
        </w:rPr>
        <w:t xml:space="preserve">. </w:t>
      </w:r>
      <w:r>
        <w:rPr>
          <w:rtl w:val="true"/>
        </w:rPr>
        <w:t>לטענת הסניגור</w:t>
      </w:r>
      <w:r>
        <w:rPr>
          <w:rtl w:val="true"/>
        </w:rPr>
        <w:t xml:space="preserve">, </w:t>
      </w:r>
      <w:r>
        <w:rPr>
          <w:rtl w:val="true"/>
        </w:rPr>
        <w:t>הנאשם הודה בביצוע העבירה כבר בחקירתו במשטרה</w:t>
      </w:r>
      <w:r>
        <w:rPr>
          <w:rtl w:val="true"/>
        </w:rPr>
        <w:t xml:space="preserve">. </w:t>
      </w:r>
      <w:r>
        <w:rPr>
          <w:rtl w:val="true"/>
        </w:rPr>
        <w:t xml:space="preserve">מאז ביצוע העבירה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לא ביצע הנאשם עבירות נוספות</w:t>
      </w:r>
      <w:r>
        <w:rPr>
          <w:rtl w:val="true"/>
        </w:rPr>
        <w:t xml:space="preserve">, </w:t>
      </w:r>
      <w:r>
        <w:rPr>
          <w:rtl w:val="true"/>
        </w:rPr>
        <w:t>הוא עבר שינוי בדרך חייו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tl w:val="true"/>
        </w:rPr>
        <w:t xml:space="preserve">, </w:t>
      </w:r>
      <w:r>
        <w:rPr>
          <w:rtl w:val="true"/>
        </w:rPr>
        <w:t>הקים משפחה</w:t>
      </w:r>
      <w:r>
        <w:rPr>
          <w:rtl w:val="true"/>
        </w:rPr>
        <w:t xml:space="preserve">, </w:t>
      </w:r>
      <w:r>
        <w:rPr>
          <w:rtl w:val="true"/>
        </w:rPr>
        <w:t>והוא עובד כנהג משאית</w:t>
      </w:r>
      <w:r>
        <w:rPr>
          <w:rtl w:val="true"/>
        </w:rPr>
        <w:t xml:space="preserve">, </w:t>
      </w:r>
      <w:r>
        <w:rPr>
          <w:rtl w:val="true"/>
        </w:rPr>
        <w:t>ומתגורר כיום באשדוד</w:t>
      </w:r>
      <w:r>
        <w:rPr>
          <w:rtl w:val="true"/>
        </w:rPr>
        <w:t xml:space="preserve">, </w:t>
      </w:r>
      <w:r>
        <w:rPr>
          <w:rtl w:val="true"/>
        </w:rPr>
        <w:t>הרחק מן המקום בו היה מעורב בחברה עבריינית</w:t>
      </w:r>
      <w:r>
        <w:rPr>
          <w:rtl w:val="true"/>
        </w:rPr>
        <w:t xml:space="preserve">. </w:t>
      </w:r>
      <w:r>
        <w:rPr>
          <w:rtl w:val="true"/>
        </w:rPr>
        <w:t>לטענת הסניגור בשל העובדה שהנאשם זנח את דרך הפשע</w:t>
      </w:r>
      <w:r>
        <w:rPr>
          <w:rtl w:val="true"/>
        </w:rPr>
        <w:t xml:space="preserve">, </w:t>
      </w:r>
      <w:r>
        <w:rPr>
          <w:rtl w:val="true"/>
        </w:rPr>
        <w:t>ולאור חלוף הזמן</w:t>
      </w:r>
      <w:r>
        <w:rPr>
          <w:rtl w:val="true"/>
        </w:rPr>
        <w:t xml:space="preserve">, </w:t>
      </w:r>
      <w:r>
        <w:rPr>
          <w:rtl w:val="true"/>
        </w:rPr>
        <w:t>יש להסתפק בעונש מקל</w:t>
      </w:r>
      <w:r>
        <w:rPr>
          <w:rtl w:val="true"/>
        </w:rPr>
        <w:t>.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הנאשם עצמו הסביר את השינוי שחל באורח חייו מאז שהיה מעורב בשימוש 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ראשית אציין</w:t>
      </w:r>
      <w:r>
        <w:rPr>
          <w:rtl w:val="true"/>
        </w:rPr>
        <w:t xml:space="preserve">, </w:t>
      </w:r>
      <w:r>
        <w:rPr>
          <w:rtl w:val="true"/>
        </w:rPr>
        <w:t>כי בתי המשפט פסקו פעמים רבות כי העבירה של החזקת נשק שלא כדין הינה עבירה חמורה בשל הסיכון הפוטנציאלי הגלום בה</w:t>
      </w:r>
      <w:r>
        <w:rPr>
          <w:rtl w:val="true"/>
        </w:rPr>
        <w:t xml:space="preserve">. </w:t>
      </w:r>
      <w:r>
        <w:rPr>
          <w:rtl w:val="true"/>
        </w:rPr>
        <w:t>שהרי כל הנושא נשק שלא כדין מסכן את הסובבבים אותו ואת החברה כולה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מן הראוי להטיל בגין עבירות כגון דא עונשי מאסר בפועל אשר ירוצו מאחורי סורג ובריח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אדהאם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 xml:space="preserve">)). </w:t>
      </w:r>
      <w:r>
        <w:rPr>
          <w:rtl w:val="true"/>
        </w:rPr>
        <w:t xml:space="preserve">החשש שבנשק ייעשה שימוש למטרות לא כשרות חמור שבעתיים מקום שהמחזיק בנשק הנו בעל הרשעות קודמות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)). </w:t>
      </w:r>
      <w:r>
        <w:rPr>
          <w:rtl w:val="true"/>
        </w:rPr>
        <w:t>די בכך בכדי לדחות את המלצת שירות המבחן ואת בקשת ההגנה להסתפק בעונש של מאסר על תנאי ושירות לתועלת הציבור</w:t>
      </w:r>
      <w:r>
        <w:rPr>
          <w:rtl w:val="true"/>
        </w:rPr>
        <w:t xml:space="preserve">. </w:t>
      </w:r>
      <w:r>
        <w:rPr>
          <w:rtl w:val="true"/>
        </w:rPr>
        <w:t>עונשים מסוג זה אינם הולמים את חומרת העבירה במקרה דנן</w:t>
      </w:r>
      <w:r>
        <w:rPr>
          <w:rtl w:val="true"/>
        </w:rPr>
        <w:t xml:space="preserve">, </w:t>
      </w:r>
      <w:r>
        <w:rPr>
          <w:rtl w:val="true"/>
        </w:rPr>
        <w:t>ובוודאי שאינם הולמים במקום שבו לחובתו של הנאשם עבר פלילי קודם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במסגרת שיקולי הענישה במקרה דנן</w:t>
      </w:r>
      <w:r>
        <w:rPr>
          <w:rtl w:val="true"/>
        </w:rPr>
        <w:t xml:space="preserve">, </w:t>
      </w:r>
      <w:r>
        <w:rPr>
          <w:rtl w:val="true"/>
        </w:rPr>
        <w:t>סבורני שיש ליתן משקל ממשי לחלוף הזמן מעת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כאשר הנאשם לא עבר עבירות נוספות מאז ביצוע העבירה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הועדה לבחינת דרכי ההבנייה של שיקול הדעת השיפוטי בגזירת הדין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ועדת גולדברג</w:t>
      </w:r>
      <w:r>
        <w:rPr>
          <w:rtl w:val="true"/>
        </w:rPr>
        <w:t xml:space="preserve">)). </w:t>
      </w:r>
    </w:p>
    <w:p>
      <w:pPr>
        <w:pStyle w:val="Style11"/>
        <w:ind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העבירה בוצעה בפברואר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הוגש מלכתחילה נגד הנאשם רק ביום </w:t>
      </w:r>
      <w:r>
        <w:rPr/>
        <w:t>21.1.07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קרוב לשנתיים לאחר ביצוע העבירה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בספטמבר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נמחק כתב האישום לבקשת המאשימה</w:t>
      </w:r>
      <w:r>
        <w:rPr>
          <w:rtl w:val="true"/>
        </w:rPr>
        <w:t xml:space="preserve">, </w:t>
      </w:r>
      <w:r>
        <w:rPr>
          <w:rtl w:val="true"/>
        </w:rPr>
        <w:t>בשל אי</w:t>
      </w:r>
      <w:r>
        <w:rPr>
          <w:rtl w:val="true"/>
        </w:rPr>
        <w:t>-</w:t>
      </w:r>
      <w:r>
        <w:rPr>
          <w:rtl w:val="true"/>
        </w:rPr>
        <w:t>איתורו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בחודש ינואר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חודש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ורק ביוני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התקיימה הישיבה הראשונה בתיק בנוכחות הנאשם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בחודש נובמבר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הודה הנאשם בעבירה המיוחסת לו</w:t>
      </w:r>
      <w:r>
        <w:rPr>
          <w:rtl w:val="true"/>
        </w:rPr>
        <w:t xml:space="preserve">, </w:t>
      </w:r>
      <w:r>
        <w:rPr>
          <w:rtl w:val="true"/>
        </w:rPr>
        <w:t>והורשע בדין</w:t>
      </w:r>
      <w:r>
        <w:rPr>
          <w:rtl w:val="true"/>
        </w:rPr>
        <w:t xml:space="preserve">. </w:t>
      </w:r>
      <w:r>
        <w:rPr>
          <w:rtl w:val="true"/>
        </w:rPr>
        <w:t>נדמה כי לא ניתן לזקוף במקרה דנן את חלוף הזמן לחובתו של הנאשם או להתנהלותה של ההגנה</w:t>
      </w:r>
      <w:r>
        <w:rPr>
          <w:rtl w:val="true"/>
        </w:rPr>
        <w:t>.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שיקול חלוף הזמן אינו עומד כשלעצמו</w:t>
      </w:r>
      <w:r>
        <w:rPr>
          <w:rtl w:val="true"/>
        </w:rPr>
        <w:t xml:space="preserve">. </w:t>
      </w:r>
      <w:r>
        <w:rPr>
          <w:rtl w:val="true"/>
        </w:rPr>
        <w:t>שיקול זה יש לבחון לאור השינויים בתפקודו של הנאשם בתקופה זו</w:t>
      </w:r>
      <w:r>
        <w:rPr>
          <w:rtl w:val="true"/>
        </w:rPr>
        <w:t xml:space="preserve">. </w:t>
      </w:r>
      <w:r>
        <w:rPr>
          <w:rtl w:val="true"/>
        </w:rPr>
        <w:t>כפי שעולה מתסקיר שירות המבחן ומטיעוני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בתקופה זו של למעלה מארבע שנים לא נפתחו לנאשם תיקים נוספים</w:t>
      </w:r>
      <w:r>
        <w:rPr>
          <w:rtl w:val="true"/>
        </w:rPr>
        <w:t xml:space="preserve">, </w:t>
      </w:r>
      <w:r>
        <w:rPr>
          <w:rtl w:val="true"/>
        </w:rPr>
        <w:t>הוא נישא</w:t>
      </w:r>
      <w:r>
        <w:rPr>
          <w:rtl w:val="true"/>
        </w:rPr>
        <w:t xml:space="preserve">, </w:t>
      </w:r>
      <w:r>
        <w:rPr>
          <w:rtl w:val="true"/>
        </w:rPr>
        <w:t>הקים משפחה</w:t>
      </w:r>
      <w:r>
        <w:rPr>
          <w:rtl w:val="true"/>
        </w:rPr>
        <w:t xml:space="preserve">, </w:t>
      </w:r>
      <w:r>
        <w:rPr>
          <w:rtl w:val="true"/>
        </w:rPr>
        <w:t>עובד בעבודה יציבה</w:t>
      </w:r>
      <w:r>
        <w:rPr>
          <w:rtl w:val="true"/>
        </w:rPr>
        <w:t xml:space="preserve">, </w:t>
      </w:r>
      <w:r>
        <w:rPr>
          <w:rtl w:val="true"/>
        </w:rPr>
        <w:t>ושינה את סביבת מגוריו באופן שכיום הוא רחוק</w:t>
      </w:r>
      <w:r>
        <w:rPr>
          <w:rtl w:val="true"/>
        </w:rPr>
        <w:t xml:space="preserve">, </w:t>
      </w:r>
      <w:r>
        <w:rPr>
          <w:rtl w:val="true"/>
        </w:rPr>
        <w:t>תרתי משמע</w:t>
      </w:r>
      <w:r>
        <w:rPr>
          <w:rtl w:val="true"/>
        </w:rPr>
        <w:t xml:space="preserve">, </w:t>
      </w:r>
      <w:r>
        <w:rPr>
          <w:rtl w:val="true"/>
        </w:rPr>
        <w:t>מהמקום שבו ביצע את העבירה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סבורני ששליחתו של הנאשם למאסר מאחורי סורג ובריח עלולה לגרום ליותר נזק מתועלת</w:t>
      </w:r>
      <w:r>
        <w:rPr>
          <w:rtl w:val="true"/>
        </w:rPr>
        <w:t xml:space="preserve">, </w:t>
      </w:r>
      <w:r>
        <w:rPr>
          <w:rtl w:val="true"/>
        </w:rPr>
        <w:t>ולהשיב את הנאשם לעולם העברייני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 השיקולים לקולא יש לזקוף את הודאתו של הנאשם באשמה</w:t>
      </w:r>
      <w:r>
        <w:rPr>
          <w:rtl w:val="true"/>
        </w:rPr>
        <w:t xml:space="preserve">, </w:t>
      </w:r>
      <w:r>
        <w:rPr>
          <w:rtl w:val="true"/>
        </w:rPr>
        <w:t>וכן את הודאתו כבר בחקירתו במשטרה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עוד אציין כי קיימת חשיבות של ממש מבחינת חומרת העבירה לרקע ולמטרת החזקת הנשק</w:t>
      </w:r>
      <w:r>
        <w:rPr>
          <w:rtl w:val="true"/>
        </w:rPr>
        <w:t xml:space="preserve">. </w:t>
      </w:r>
      <w:r>
        <w:rPr>
          <w:rtl w:val="true"/>
        </w:rPr>
        <w:t>בעניין זה נקבעו ב</w:t>
      </w:r>
      <w:hyperlink r:id="rId5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ש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 מוך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 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מספר קטגוריות שונות</w:t>
      </w:r>
      <w:r>
        <w:rPr>
          <w:rtl w:val="true"/>
        </w:rPr>
        <w:t xml:space="preserve">. </w:t>
      </w:r>
      <w:r>
        <w:rPr>
          <w:rtl w:val="true"/>
        </w:rPr>
        <w:t>קטגוריות אלה אמנם נקבעו בהקשר של העילה למעצר עד תום ההליכים</w:t>
      </w:r>
      <w:r>
        <w:rPr>
          <w:rtl w:val="true"/>
        </w:rPr>
        <w:t xml:space="preserve">, </w:t>
      </w:r>
      <w:r>
        <w:rPr>
          <w:rtl w:val="true"/>
        </w:rPr>
        <w:t>ואולם הפסיקה עשתה בהן שימוש</w:t>
      </w:r>
      <w:r>
        <w:rPr>
          <w:rtl w:val="true"/>
        </w:rPr>
        <w:t xml:space="preserve">, </w:t>
      </w:r>
      <w:r>
        <w:rPr>
          <w:rtl w:val="true"/>
        </w:rPr>
        <w:t>בשינויים המחוייבים</w:t>
      </w:r>
      <w:r>
        <w:rPr>
          <w:rtl w:val="true"/>
        </w:rPr>
        <w:t xml:space="preserve">, </w:t>
      </w:r>
      <w:r>
        <w:rPr>
          <w:rtl w:val="true"/>
        </w:rPr>
        <w:t xml:space="preserve">אף לעניין גזירת הדין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בלטי</w:t>
      </w:r>
      <w:r>
        <w:rPr>
          <w:rtl w:val="true"/>
        </w:rPr>
        <w:t xml:space="preserve">,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שופט מ</w:t>
      </w:r>
      <w:r>
        <w:rPr>
          <w:rtl w:val="true"/>
        </w:rPr>
        <w:t xml:space="preserve">' </w:t>
      </w:r>
      <w:r>
        <w:rPr>
          <w:rtl w:val="true"/>
        </w:rPr>
        <w:t>דרורי</w:t>
      </w:r>
      <w:r>
        <w:rPr>
          <w:rtl w:val="true"/>
        </w:rPr>
        <w:t xml:space="preserve">). </w:t>
      </w:r>
      <w:r>
        <w:rPr>
          <w:rtl w:val="true"/>
        </w:rPr>
        <w:t>כבוד השופט בך בעניין אבו</w:t>
      </w:r>
      <w:r>
        <w:rPr>
          <w:rtl w:val="true"/>
        </w:rPr>
        <w:t>-</w:t>
      </w:r>
      <w:r>
        <w:rPr>
          <w:rtl w:val="true"/>
        </w:rPr>
        <w:t>מוך סיווג את העבירות של החזקת נשק שלא כדין לקטגוריות הבאות מהכבד אל הקל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החזקת הנשק לשם ביצוע מעשים</w:t>
      </w:r>
      <w:r>
        <w:rPr>
          <w:rtl w:val="true"/>
        </w:rPr>
        <w:t xml:space="preserve">, </w:t>
      </w:r>
      <w:r>
        <w:rPr>
          <w:rtl w:val="true"/>
        </w:rPr>
        <w:t>המיועדים לפגוע בביטחון המדינה או בביטחון הציבור</w:t>
      </w:r>
      <w:r>
        <w:rPr>
          <w:rtl w:val="true"/>
        </w:rPr>
        <w:t>.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החזקת הנשק לשם ביצוע עבירה פלילית ספציפית</w:t>
      </w:r>
      <w:r>
        <w:rPr>
          <w:rtl w:val="true"/>
        </w:rPr>
        <w:t>.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החזקת הנשק </w:t>
      </w:r>
      <w:r>
        <w:rPr>
          <w:rtl w:val="true"/>
        </w:rPr>
        <w:t>"</w:t>
      </w:r>
      <w:r>
        <w:rPr>
          <w:rtl w:val="true"/>
        </w:rPr>
        <w:t>לעת מצוא</w:t>
      </w:r>
      <w:r>
        <w:rPr>
          <w:rtl w:val="true"/>
        </w:rPr>
        <w:t xml:space="preserve">" </w:t>
      </w:r>
      <w:r>
        <w:rPr>
          <w:rtl w:val="true"/>
        </w:rPr>
        <w:t>כדי לאפשר פעילות פלילית אפשרית בעתיד</w:t>
      </w:r>
      <w:r>
        <w:rPr>
          <w:rtl w:val="true"/>
        </w:rPr>
        <w:t>. 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צבירת נשק על</w:t>
      </w:r>
      <w:r>
        <w:rPr>
          <w:rtl w:val="true"/>
        </w:rPr>
        <w:t>-</w:t>
      </w:r>
      <w:r>
        <w:rPr>
          <w:rtl w:val="true"/>
        </w:rPr>
        <w:t>ידי קבוצה פוליטית</w:t>
      </w:r>
      <w:r>
        <w:rPr>
          <w:rtl w:val="true"/>
        </w:rPr>
        <w:t xml:space="preserve">, </w:t>
      </w:r>
      <w:r>
        <w:rPr>
          <w:rtl w:val="true"/>
        </w:rPr>
        <w:t>עדתית או אידיאולוגית</w:t>
      </w:r>
      <w:r>
        <w:rPr>
          <w:rtl w:val="true"/>
        </w:rPr>
        <w:t>. 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החזקת הנשק לצורך הגנה עצמית או לצורך הגנה על הציבור</w:t>
      </w:r>
      <w:r>
        <w:rPr>
          <w:rtl w:val="true"/>
        </w:rPr>
        <w:t xml:space="preserve">, </w:t>
      </w:r>
      <w:r>
        <w:rPr>
          <w:rtl w:val="true"/>
        </w:rPr>
        <w:t>המשפחה או ה</w:t>
      </w:r>
      <w:r>
        <w:rPr>
          <w:rtl w:val="true"/>
        </w:rPr>
        <w:t>"</w:t>
      </w:r>
      <w:r>
        <w:rPr>
          <w:rtl w:val="true"/>
        </w:rPr>
        <w:t>חמולה</w:t>
      </w:r>
      <w:r>
        <w:rPr>
          <w:rtl w:val="true"/>
        </w:rPr>
        <w:t xml:space="preserve">", </w:t>
      </w:r>
      <w:r>
        <w:rPr>
          <w:rtl w:val="true"/>
        </w:rPr>
        <w:t>אליהם הנאשם משתייך</w:t>
      </w:r>
      <w:r>
        <w:rPr>
          <w:rtl w:val="true"/>
        </w:rPr>
        <w:t>. 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החזקת נשק לצורך ספורט</w:t>
      </w:r>
      <w:r>
        <w:rPr>
          <w:rtl w:val="true"/>
        </w:rPr>
        <w:t xml:space="preserve">, </w:t>
      </w:r>
      <w:r>
        <w:rPr>
          <w:rtl w:val="true"/>
        </w:rPr>
        <w:t>ציד או שעשוע</w:t>
      </w:r>
      <w:r>
        <w:rPr>
          <w:rtl w:val="true"/>
        </w:rPr>
        <w:t>. 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החזקת נשק על</w:t>
      </w:r>
      <w:r>
        <w:rPr>
          <w:rtl w:val="true"/>
        </w:rPr>
        <w:t>-</w:t>
      </w:r>
      <w:r>
        <w:rPr>
          <w:rtl w:val="true"/>
        </w:rPr>
        <w:t>ידי הנאשם בתור מזכרת או כאספן</w:t>
      </w:r>
      <w:r>
        <w:rPr>
          <w:rtl w:val="true"/>
        </w:rPr>
        <w:t>. (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>שפג תוקף רישיונו</w:t>
      </w:r>
      <w:r>
        <w:rPr>
          <w:rtl w:val="true"/>
        </w:rPr>
        <w:t xml:space="preserve">, </w:t>
      </w:r>
      <w:r>
        <w:rPr>
          <w:rtl w:val="true"/>
        </w:rPr>
        <w:t>והנאשם נמנע מלחדש את הרישיון בעתו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בהקשר זה קבע כב</w:t>
      </w:r>
      <w:r>
        <w:rPr>
          <w:rtl w:val="true"/>
        </w:rPr>
        <w:t xml:space="preserve">' </w:t>
      </w:r>
      <w:r>
        <w:rPr>
          <w:rtl w:val="true"/>
        </w:rPr>
        <w:t>השופט בך</w:t>
      </w:r>
      <w:r>
        <w:rPr>
          <w:rtl w:val="true"/>
        </w:rPr>
        <w:t xml:space="preserve">, </w:t>
      </w:r>
      <w:r>
        <w:rPr>
          <w:rtl w:val="true"/>
        </w:rPr>
        <w:t>כי כקו מנחה</w:t>
      </w:r>
      <w:r>
        <w:rPr>
          <w:rtl w:val="true"/>
        </w:rPr>
        <w:t xml:space="preserve">, </w:t>
      </w:r>
      <w:r>
        <w:rPr>
          <w:rtl w:val="true"/>
        </w:rPr>
        <w:t>יש להבחין בין העבירות המבוצעות בנסיבות המנויות בסוגים א</w:t>
      </w:r>
      <w:r>
        <w:rPr>
          <w:rtl w:val="true"/>
        </w:rPr>
        <w:t>-</w:t>
      </w:r>
      <w:r>
        <w:rPr>
          <w:rtl w:val="true"/>
        </w:rPr>
        <w:t>ד שהינן החמורות יותר</w:t>
      </w:r>
      <w:r>
        <w:rPr>
          <w:rtl w:val="true"/>
        </w:rPr>
        <w:t xml:space="preserve">, </w:t>
      </w:r>
      <w:r>
        <w:rPr>
          <w:rtl w:val="true"/>
        </w:rPr>
        <w:t>לבין העבירות במקרים המנויים בסוגים ה</w:t>
      </w:r>
      <w:r>
        <w:rPr>
          <w:rtl w:val="true"/>
        </w:rPr>
        <w:t>-</w:t>
      </w:r>
      <w:r>
        <w:rPr>
          <w:rtl w:val="true"/>
        </w:rPr>
        <w:t>ח דלעיל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במקרה דנן אני סבור שיש בסיס לטענה שהנאשם החזיק את הנשק לצורכי הגנה עצמית</w:t>
      </w:r>
      <w:r>
        <w:rPr>
          <w:rtl w:val="true"/>
        </w:rPr>
        <w:t xml:space="preserve">. </w:t>
      </w:r>
      <w:r>
        <w:rPr>
          <w:rtl w:val="true"/>
        </w:rPr>
        <w:t>הנאשם באותה תקופה בא במגע עם עבריינים</w:t>
      </w:r>
      <w:r>
        <w:rPr>
          <w:rtl w:val="true"/>
        </w:rPr>
        <w:t xml:space="preserve">, </w:t>
      </w:r>
      <w:r>
        <w:rPr>
          <w:rtl w:val="true"/>
        </w:rPr>
        <w:t>ולטענתו החזיק את הנשק בשל חששו שאחרים יפגעו בו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הואיל והנאשם לא הביא ראיות של ממש להוכחת הטענה</w:t>
      </w:r>
      <w:r>
        <w:rPr>
          <w:rtl w:val="true"/>
        </w:rPr>
        <w:t xml:space="preserve">, </w:t>
      </w:r>
      <w:r>
        <w:rPr>
          <w:rtl w:val="true"/>
        </w:rPr>
        <w:t>הרי שיש ליתן לטענה זו משקל מועט בלבד</w:t>
      </w:r>
      <w:r>
        <w:rPr>
          <w:rtl w:val="true"/>
        </w:rPr>
        <w:t>.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rtl w:val="true"/>
        </w:rPr>
        <w:t>בסיכומו של דבר</w:t>
      </w:r>
      <w:r>
        <w:rPr>
          <w:rtl w:val="true"/>
        </w:rPr>
        <w:t xml:space="preserve">, </w:t>
      </w:r>
      <w:r>
        <w:rPr>
          <w:rtl w:val="true"/>
        </w:rPr>
        <w:t>לא ניתן לקבל את המלצת שירות המבחן ואת טענת ההגנה להסתפקות בעונש של מאסר על תנאי ושירות לתועלת הציבור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איני סבור אף שיש מקום להורות על מאסרו של הנאשם מאחורי סורג ובריח</w:t>
      </w:r>
      <w:r>
        <w:rPr>
          <w:rtl w:val="true"/>
        </w:rPr>
        <w:t xml:space="preserve">. </w:t>
      </w:r>
      <w:r>
        <w:rPr>
          <w:rtl w:val="true"/>
        </w:rPr>
        <w:t>באיזון הכולל בין שיקולי הענישה השונים</w:t>
      </w:r>
      <w:r>
        <w:rPr>
          <w:rtl w:val="true"/>
        </w:rPr>
        <w:t xml:space="preserve">, </w:t>
      </w:r>
      <w:r>
        <w:rPr>
          <w:rtl w:val="true"/>
        </w:rPr>
        <w:t>סבורני שיש להורות על עונש של מאסר שירוצה על 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מאסר על תנאי מרתיע</w:t>
      </w:r>
      <w:r>
        <w:rPr>
          <w:rtl w:val="true"/>
        </w:rPr>
        <w:t xml:space="preserve">, </w:t>
      </w:r>
      <w:r>
        <w:rPr>
          <w:rtl w:val="true"/>
        </w:rPr>
        <w:t>וקנס ממשי</w:t>
      </w:r>
      <w:r>
        <w:rPr>
          <w:rtl w:val="true"/>
        </w:rPr>
        <w:t xml:space="preserve">. </w:t>
      </w:r>
      <w:r>
        <w:rPr>
          <w:rtl w:val="true"/>
        </w:rPr>
        <w:t>לאור העובדה שהשימוש בסמים עמד ברקע לביצוע העבירה הנוכחית</w:t>
      </w:r>
      <w:r>
        <w:rPr>
          <w:rtl w:val="true"/>
        </w:rPr>
        <w:t xml:space="preserve">, </w:t>
      </w:r>
      <w:r>
        <w:rPr>
          <w:rtl w:val="true"/>
        </w:rPr>
        <w:t>ואף על</w:t>
      </w:r>
      <w:r>
        <w:rPr>
          <w:rtl w:val="true"/>
        </w:rPr>
        <w:t>-</w:t>
      </w:r>
      <w:r>
        <w:rPr>
          <w:rtl w:val="true"/>
        </w:rPr>
        <w:t>פי שהנאשם לא הואשם וממילא לא הורשע בתיק זה בעבירת סמים</w:t>
      </w:r>
      <w:r>
        <w:rPr>
          <w:rtl w:val="true"/>
        </w:rPr>
        <w:t xml:space="preserve">, </w:t>
      </w:r>
      <w:r>
        <w:rPr>
          <w:rtl w:val="true"/>
        </w:rPr>
        <w:t>סבורני שראוי כי המאסר על תנאי יחול אף על עבירות הנוגעות לסמים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 סבור כי קיימת חשיבות להעמדת הנאשם בפיקוח שירות המבחן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360"/>
        <w:jc w:val="both"/>
        <w:rPr>
          <w:u w:val="single"/>
        </w:rPr>
      </w:pPr>
      <w:r>
        <w:rPr>
          <w:u w:val="single"/>
          <w:rtl w:val="true"/>
        </w:rPr>
        <w:t>סוף דבר</w:t>
      </w:r>
    </w:p>
    <w:p>
      <w:pPr>
        <w:pStyle w:val="ListNumber"/>
        <w:numPr>
          <w:ilvl w:val="0"/>
          <w:numId w:val="2"/>
        </w:numPr>
        <w:ind w:hanging="360" w:end="0"/>
        <w:jc w:val="both"/>
        <w:rPr/>
      </w:pPr>
      <w:r>
        <w:rPr>
          <w:u w:val="single"/>
          <w:rtl w:val="true"/>
        </w:rPr>
        <w:t>אשר על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0"/>
          <w:numId w:val="3"/>
        </w:numPr>
        <w:ind w:hanging="360" w:start="717" w:end="0"/>
        <w:jc w:val="both"/>
        <w:rPr/>
      </w:pPr>
      <w:r>
        <w:rPr>
          <w:rtl w:val="true"/>
        </w:rPr>
        <w:t>שישה חודשי מאסר בפועל אשר ירוצו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עבודות השירות תבוצענה בהתאם להמלצת הממונה על עבודות השירות במרכז גמילת חסדים באשדוד</w:t>
      </w:r>
      <w:r>
        <w:rPr>
          <w:rtl w:val="true"/>
        </w:rPr>
        <w:t xml:space="preserve">, </w:t>
      </w:r>
      <w:r>
        <w:rPr>
          <w:rtl w:val="true"/>
        </w:rPr>
        <w:t>בימים 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 xml:space="preserve">בין השעות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14:00</w:t>
      </w:r>
      <w:r>
        <w:rPr>
          <w:rtl w:val="true"/>
        </w:rPr>
        <w:t xml:space="preserve">. </w:t>
      </w:r>
      <w:r>
        <w:rPr>
          <w:rtl w:val="true"/>
        </w:rPr>
        <w:t xml:space="preserve">תחילת עבודות השירות ביום </w:t>
      </w:r>
      <w:r>
        <w:rPr/>
        <w:t>12.7.09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3"/>
        </w:numPr>
        <w:ind w:hanging="360" w:start="717" w:end="0"/>
        <w:jc w:val="both"/>
        <w:rPr/>
      </w:pPr>
      <w:r>
        <w:rPr>
          <w:rtl w:val="true"/>
        </w:rPr>
        <w:t xml:space="preserve">שמונה חודשי מאסר על תנאי לבל יעבור במשך שלוש שנים מהיום את העבירה בה הורשע או עבירה מסוג פשע לפי </w:t>
      </w:r>
      <w:hyperlink r:id="rId7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3"/>
        </w:numPr>
        <w:ind w:hanging="360" w:start="717" w:end="0"/>
        <w:jc w:val="both"/>
        <w:rPr/>
      </w:pPr>
      <w:r>
        <w:rPr>
          <w:rtl w:val="true"/>
        </w:rPr>
        <w:t xml:space="preserve">ארבעה חודשי מאסר על תנאי לבל יעבור במשך שלוש שנים מהיום עבירה מסוג עוון לפי </w:t>
      </w:r>
      <w:hyperlink r:id="rId8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3"/>
        </w:numPr>
        <w:ind w:hanging="360" w:start="717" w:end="0"/>
        <w:jc w:val="both"/>
        <w:rPr/>
      </w:pPr>
      <w:r>
        <w:rPr>
          <w:rtl w:val="true"/>
        </w:rPr>
        <w:t xml:space="preserve">קנס כספי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 חודשיים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בעשרה תשלומים שווים ורצופים שהראשון שבהם ביום </w:t>
      </w:r>
      <w:r>
        <w:rPr/>
        <w:t>1.7.09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3"/>
        </w:numPr>
        <w:ind w:hanging="360" w:start="717" w:end="0"/>
        <w:jc w:val="both"/>
        <w:rPr/>
      </w:pPr>
      <w:r>
        <w:rPr>
          <w:rtl w:val="true"/>
        </w:rPr>
        <w:t>אני מורה על העמדת הנאשם בפיקוח שירות המבחן למשך שנה מהיום</w:t>
      </w:r>
      <w:r>
        <w:rPr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המזכירות תשלח העתק גזר הדין לשירות המבחן ולממונה על עבודות השירות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המזכירות תשלח העתק גזר הדין לפרקליטות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הנשק והתחמושות שנתפסו יחולטו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זכות ערעור לבית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25/05/2009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/Users/liorb/Downloads/study2025-p2/SH-07-1120-286.doc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1120-07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יצחק חמיאס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17"/>
        </w:tabs>
        <w:ind w:start="717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120-07"/>
    <w:docVar w:name="caseId" w:val="12312233"/>
    <w:docVar w:name="deriveClass" w:val="NGCS.Protocol.BL.Client.ProtocolBLClientCriminal"/>
    <w:docVar w:name="firstPageNumber" w:val="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42441"/>
    <w:docVar w:name="releaseSign" w:val="0"/>
    <w:docVar w:name="sittingDateTime" w:val="25/05/2009 14:00     "/>
    <w:docVar w:name="sittingId" w:val="1553596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7z0">
    <w:name w:val="WW8Num7z0"/>
    <w:qFormat/>
    <w:rPr/>
  </w:style>
  <w:style w:type="character" w:styleId="WW8Num9z0">
    <w:name w:val="WW8Num9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357" w:start="357" w:end="0"/>
      <w:jc w:val="both"/>
    </w:pPr>
    <w:rPr>
      <w:rFonts w:ascii="Times New Roman" w:hAnsi="Times New Roman" w:eastAsia="Times New Roman" w:cs="Times New Roman"/>
    </w:rPr>
  </w:style>
  <w:style w:type="paragraph" w:styleId="Style11">
    <w:name w:val="ללא מספור"/>
    <w:basedOn w:val="Normal"/>
    <w:qFormat/>
    <w:pPr>
      <w:spacing w:lineRule="auto" w:line="360" w:before="0" w:after="120"/>
      <w:ind w:hanging="0" w:start="386" w:end="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6583/06" TargetMode="External"/><Relationship Id="rId4" Type="http://schemas.openxmlformats.org/officeDocument/2006/relationships/hyperlink" Target="http://www.nevo.co.il/links/psika/?link=&#1506;&#1508;%20761/07" TargetMode="External"/><Relationship Id="rId5" Type="http://schemas.openxmlformats.org/officeDocument/2006/relationships/hyperlink" Target="http://www.nevo.co.il/links/psika/?link=&#1489;&#1513;%20625/82&amp;Pvol=&#1500;&#1494;" TargetMode="External"/><Relationship Id="rId6" Type="http://schemas.openxmlformats.org/officeDocument/2006/relationships/hyperlink" Target="http://www.nevo.co.il/links/psika/?link=&#1514;&#1508;%20207/08" TargetMode="External"/><Relationship Id="rId7" Type="http://schemas.openxmlformats.org/officeDocument/2006/relationships/hyperlink" Target="http://www.nevo.co.il/law_html/law01/P170_001.htm" TargetMode="External"/><Relationship Id="rId8" Type="http://schemas.openxmlformats.org/officeDocument/2006/relationships/hyperlink" Target="http://www.nevo.co.il/law_html/law01/P170_001.ht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2009-05-26T01:22:00Z</dcterms:created>
  <dc:creator> </dc:creator>
  <dc:description/>
  <cp:keywords/>
  <dc:language>en-IL</dc:language>
  <cp:lastModifiedBy>hofit</cp:lastModifiedBy>
  <cp:lastPrinted>2009-05-25T15:58:00Z</cp:lastPrinted>
  <dcterms:modified xsi:type="dcterms:W3CDTF">2009-05-26T07:55:00Z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יצחק חמיאס</vt:lpwstr>
  </property>
  <property fmtid="{D5CDD505-2E9C-101B-9397-08002B2CF9AE}" pid="4" name="CITY">
    <vt:lpwstr>רמ'</vt:lpwstr>
  </property>
  <property fmtid="{D5CDD505-2E9C-101B-9397-08002B2CF9AE}" pid="5" name="DATE">
    <vt:lpwstr>20090525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עמי קובו</vt:lpwstr>
  </property>
  <property fmtid="{D5CDD505-2E9C-101B-9397-08002B2CF9AE}" pid="9" name="LAWYER">
    <vt:lpwstr>גור אריה קרמיצר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1120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1120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380020090525</vt:lpwstr>
  </property>
  <property fmtid="{D5CDD505-2E9C-101B-9397-08002B2CF9AE}" pid="35" name="TYPE_N_DATE">
    <vt:lpwstr>38020090525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