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ברמלה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1267-09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ריאד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יולי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856"/>
        <w:gridCol w:w="239"/>
        <w:gridCol w:w="2625"/>
      </w:tblGrid>
      <w:tr>
        <w:trPr>
          <w:trHeight w:val="337" w:hRule="atLeast"/>
        </w:trPr>
        <w:tc>
          <w:tcPr>
            <w:tcW w:w="5856" w:type="dxa"/>
            <w:tcBorders/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שופט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ד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ר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עמי קובו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625" w:type="dxa"/>
            <w:tcBorders/>
          </w:tcPr>
          <w:p>
            <w:pPr>
              <w:pStyle w:val="Header"/>
              <w:snapToGrid w:val="false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0"/>
        <w:gridCol w:w="5562"/>
      </w:tblGrid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 מחוז המרכז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ascii="Arial" w:hAnsi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David"/>
                <w:b/>
                <w:bCs/>
                <w:sz w:val="26"/>
                <w:szCs w:val="26"/>
              </w:rPr>
            </w:pPr>
            <w:r>
              <w:rPr>
                <w:rFonts w:cs="David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240" w:type="dxa"/>
            <w:tcBorders/>
          </w:tcPr>
          <w:p>
            <w:pPr>
              <w:pStyle w:val="Normal"/>
              <w:ind w:start="26"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5562" w:type="dxa"/>
            <w:tcBorders/>
          </w:tcPr>
          <w:p>
            <w:pPr>
              <w:pStyle w:val="Normal"/>
              <w:ind w:end="0"/>
              <w:jc w:val="start"/>
              <w:rPr>
                <w:rFonts w:cs="David"/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                      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אלעאסם ריאד </w:t>
            </w:r>
            <w:r>
              <w:rPr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ינאי גורני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 הנאשם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קדרי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</w:t>
      </w:r>
      <w:r>
        <w:rPr>
          <w:b w:val="false"/>
          <w:bCs w:val="false"/>
          <w:u w:val="none"/>
          <w:rtl w:val="true"/>
        </w:rPr>
        <w:t xml:space="preserve">- </w:t>
      </w:r>
      <w:r>
        <w:rPr>
          <w:b w:val="false"/>
          <w:b w:val="false"/>
          <w:bCs w:val="false"/>
          <w:u w:val="none"/>
          <w:rtl w:val="true"/>
        </w:rPr>
        <w:t xml:space="preserve">בעצמו </w:t>
      </w:r>
    </w:p>
    <w:p>
      <w:pPr>
        <w:pStyle w:val="Normal"/>
        <w:spacing w:lineRule="auto" w:line="360"/>
        <w:ind w:end="0"/>
        <w:jc w:val="both"/>
        <w:rPr>
          <w:b/>
          <w:bCs/>
          <w:u w:val="none"/>
        </w:rPr>
      </w:pPr>
      <w:r>
        <w:rPr>
          <w:b/>
          <w:bCs/>
          <w:u w:val="non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רקע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 xml:space="preserve">הנאשם הורשע ביום </w:t>
      </w:r>
      <w:r>
        <w:rPr/>
        <w:t>11.3.09</w:t>
      </w:r>
      <w:r>
        <w:rPr>
          <w:rtl w:val="true"/>
        </w:rPr>
        <w:t xml:space="preserve">, </w:t>
      </w:r>
      <w:r>
        <w:rPr>
          <w:rtl w:val="true"/>
        </w:rPr>
        <w:t>בהתאם להודאתו בעובדות כתב האישום בעבירה של החזקת נשק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סעיף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ו</w:t>
      </w:r>
      <w:r>
        <w:rPr>
          <w:rtl w:val="true"/>
        </w:rPr>
        <w:t xml:space="preserve">- </w:t>
      </w:r>
      <w:r>
        <w:rPr/>
        <w:t>144</w:t>
      </w:r>
      <w:r>
        <w:rPr>
          <w:rtl w:val="true"/>
        </w:rPr>
        <w:t>(</w:t>
      </w:r>
      <w:r>
        <w:rPr>
          <w:rtl w:val="true"/>
        </w:rPr>
        <w:t>ג</w:t>
      </w:r>
      <w:r>
        <w:rPr>
          <w:rtl w:val="true"/>
        </w:rPr>
        <w:t>)(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 xml:space="preserve">ז – </w:t>
      </w:r>
      <w:r>
        <w:rPr/>
        <w:t>1977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על פי עובדות כתב האישום</w:t>
      </w:r>
      <w:r>
        <w:rPr>
          <w:rtl w:val="true"/>
        </w:rPr>
        <w:t xml:space="preserve">, </w:t>
      </w:r>
      <w:r>
        <w:rPr>
          <w:rtl w:val="true"/>
        </w:rPr>
        <w:t xml:space="preserve">ביום </w:t>
      </w:r>
      <w:r>
        <w:rPr/>
        <w:t>25.2.09</w:t>
      </w:r>
      <w:r>
        <w:rPr>
          <w:rtl w:val="true"/>
        </w:rPr>
        <w:t xml:space="preserve"> </w:t>
      </w:r>
      <w:r>
        <w:rPr>
          <w:rtl w:val="true"/>
        </w:rPr>
        <w:t>במקום מסתור במטבח שבביתו בלוד</w:t>
      </w:r>
      <w:r>
        <w:rPr>
          <w:rtl w:val="true"/>
        </w:rPr>
        <w:t xml:space="preserve">, </w:t>
      </w:r>
      <w:r>
        <w:rPr>
          <w:rtl w:val="true"/>
        </w:rPr>
        <w:t>החזיק הנאשם באקדח ובתוכו מחסנית המכילה כדורים</w:t>
      </w:r>
      <w:r>
        <w:rPr>
          <w:rtl w:val="true"/>
        </w:rPr>
        <w:t xml:space="preserve">. </w:t>
      </w:r>
      <w:r>
        <w:rPr>
          <w:rtl w:val="true"/>
        </w:rPr>
        <w:t>באותו מועד החזיק הנאשם בסלון ביתו עשרה כדורי אקדח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לא הייתה הסכמה בין הצדדים לעניין העונש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תסקיר מבחן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תסקיר שירות המבחן בעניינו של הנאשם הינו חיובי</w:t>
      </w:r>
      <w:r>
        <w:rPr>
          <w:rtl w:val="true"/>
        </w:rPr>
        <w:t xml:space="preserve">. </w:t>
      </w:r>
      <w:r>
        <w:rPr>
          <w:rtl w:val="true"/>
        </w:rPr>
        <w:t>הנאשם ביטא צער וחרטה בפני שירות המבחן על התנהגותו</w:t>
      </w:r>
      <w:r>
        <w:rPr>
          <w:rtl w:val="true"/>
        </w:rPr>
        <w:t xml:space="preserve">. </w:t>
      </w:r>
      <w:r>
        <w:rPr>
          <w:rtl w:val="true"/>
        </w:rPr>
        <w:t>הנאשם שלל מעורבות עבריינית והדגיש את חריגות התנהגותו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המחירים האישיים והמשפחתיים להם נחשף בעקבותיה לצד הצעדים החוקיים שננקטו כנגדו מהווים גורם הרתעתי ומציב גבול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עוד ציין כי מדובר באדם ללא עבר פלילי המבקש לשמור על תדמית חברתית חיובית ונטולת בעיות</w:t>
      </w:r>
      <w:r>
        <w:rPr>
          <w:rtl w:val="true"/>
        </w:rPr>
        <w:t xml:space="preserve">, </w:t>
      </w:r>
      <w:r>
        <w:rPr>
          <w:rtl w:val="true"/>
        </w:rPr>
        <w:t>שככל הנראה התנהגותו ביטאה קשיים רגשיים עמם התקשה להתמודד ונטה להדחיק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בנוסף ציין שירות המבחן כי הבהלה והחשש מהליכים משפטיים שננקטו נגדו מסייעים בהצבת גבולות והפחתת הסיכון במידה משמעותית להישנות התנהגות דומה בעתיד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שירות המבחן התרשם מכוונותיו ורצינותו של הנאשם בביסוס וקידום מצבו כשהוא מגוייס ונכון למעורבות טיפולית של שירות המבחן</w:t>
      </w:r>
      <w:r>
        <w:rPr>
          <w:rtl w:val="true"/>
        </w:rPr>
        <w:t xml:space="preserve">. </w:t>
      </w:r>
      <w:r>
        <w:rPr>
          <w:rtl w:val="true"/>
        </w:rPr>
        <w:t>שירות המבחן סבור כי יש מקום להעמידו תחת פיקוחו למשך שנה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טיעוני הצדדים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הדגישה את חומרת העבירה ואת מדיניות הענישה המחמירה והצורך להרתיע בעבירות מסוג זה</w:t>
      </w:r>
      <w:r>
        <w:rPr>
          <w:rtl w:val="true"/>
        </w:rPr>
        <w:t xml:space="preserve">, </w:t>
      </w:r>
      <w:r>
        <w:rPr>
          <w:rtl w:val="true"/>
        </w:rPr>
        <w:t>כפי שקבע בית המשפט העליון</w:t>
      </w:r>
      <w:r>
        <w:rPr>
          <w:rtl w:val="true"/>
        </w:rPr>
        <w:t xml:space="preserve">. </w:t>
      </w:r>
      <w:r>
        <w:rPr>
          <w:rtl w:val="true"/>
        </w:rPr>
        <w:t>כן ציינה כי החזקת נשק שלא כדין עלולה לגרום לכך שהנשק יגיע לידיים עויינות וישמש למטרות לא חוקיות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התייחסה לעמדת שירות המבחן ומבקשת מבית המשפט שלא להתייחס לאינטרס האישי של הנאשם ולגזור את עונשו באופן המשרת את אינטרס הציבור בגמול והרתעה בגין מעשים אלו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עתרה להשתת עונש של מאסר בפועל מאחורי סורג ובריח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הפנה לכך שהסברו של הנאשם לכך שהחזיק את הנשק הוא שמצא אותו</w:t>
      </w:r>
      <w:r>
        <w:rPr>
          <w:rtl w:val="true"/>
        </w:rPr>
        <w:t xml:space="preserve">. </w:t>
      </w:r>
      <w:r>
        <w:rPr>
          <w:rtl w:val="true"/>
        </w:rPr>
        <w:t>כן ציין כי טענה זו לא נסתרה על ידי התביעה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ציין כי אין שום אינדיקציה לכך שהנאשם החזיק את הנשק למטרה פלילית</w:t>
      </w:r>
      <w:r>
        <w:rPr>
          <w:rtl w:val="true"/>
        </w:rPr>
        <w:t xml:space="preserve">. </w:t>
      </w:r>
      <w:r>
        <w:rPr>
          <w:rtl w:val="true"/>
        </w:rPr>
        <w:t>לטענתו הנאשם לא ידע מה עליו לעשות עם הנשק שמצא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עוד ציין ב</w:t>
      </w:r>
      <w:r>
        <w:rPr>
          <w:rtl w:val="true"/>
        </w:rPr>
        <w:t>"</w:t>
      </w:r>
      <w:r>
        <w:rPr>
          <w:rtl w:val="true"/>
        </w:rPr>
        <w:t>כ הנאשם</w:t>
      </w:r>
      <w:r>
        <w:rPr>
          <w:rtl w:val="true"/>
        </w:rPr>
        <w:t xml:space="preserve">, </w:t>
      </w:r>
      <w:r>
        <w:rPr>
          <w:rtl w:val="true"/>
        </w:rPr>
        <w:t>כי הנאשם מצוי במצב בריאותי קשה</w:t>
      </w:r>
      <w:r>
        <w:rPr>
          <w:rtl w:val="true"/>
        </w:rPr>
        <w:t xml:space="preserve">. </w:t>
      </w:r>
      <w:r>
        <w:rPr>
          <w:rtl w:val="true"/>
        </w:rPr>
        <w:t xml:space="preserve">הנאשם בן </w:t>
      </w:r>
      <w:r>
        <w:rPr/>
        <w:t>36</w:t>
      </w:r>
      <w:r>
        <w:rPr>
          <w:rtl w:val="true"/>
        </w:rPr>
        <w:t xml:space="preserve"> </w:t>
      </w:r>
      <w:r>
        <w:rPr>
          <w:rtl w:val="true"/>
        </w:rPr>
        <w:t>אב לילדים ונעדר כל עבר פלילי וזאת למרות היותו חשוף עוד מילדותו לסביבה עבריינית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כן הפנה ב</w:t>
      </w:r>
      <w:r>
        <w:rPr>
          <w:rtl w:val="true"/>
        </w:rPr>
        <w:t>"</w:t>
      </w:r>
      <w:r>
        <w:rPr>
          <w:rtl w:val="true"/>
        </w:rPr>
        <w:t>כ הנאשם לכך שנמצאו על האקדח טביעות אצבע שאינן שייכות לנאשם</w:t>
      </w:r>
      <w:r>
        <w:rPr>
          <w:rtl w:val="true"/>
        </w:rPr>
        <w:t xml:space="preserve">. </w:t>
      </w:r>
      <w:r>
        <w:rPr>
          <w:rtl w:val="true"/>
        </w:rPr>
        <w:t>עוד ציין כי הנאשם נתון במעצר בית מלא זמן מושך ולא הפר את תנאי שחרורו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עתר למאסר על תנאי ופיקוח מלא של שירות המבחן</w:t>
      </w:r>
      <w:r>
        <w:rPr>
          <w:rtl w:val="true"/>
        </w:rPr>
        <w:t xml:space="preserve">, </w:t>
      </w:r>
      <w:r>
        <w:rPr>
          <w:rtl w:val="true"/>
        </w:rPr>
        <w:t>ולחילופין עתר למאסר בדרך של עבודות שירות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הנאשם הביע חרטה וטען כי שגה במעשיו</w:t>
      </w:r>
      <w:r>
        <w:rPr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דיון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בתי המשפט עמדו לא אחת על החומרה בעבירת החזקת נשק</w:t>
      </w:r>
      <w:r>
        <w:rPr>
          <w:rtl w:val="true"/>
        </w:rPr>
        <w:t xml:space="preserve">, </w:t>
      </w:r>
      <w:r>
        <w:rPr>
          <w:rtl w:val="true"/>
        </w:rPr>
        <w:t>בשל פוטנציאל הסיכון הכרוך בה</w:t>
      </w:r>
      <w:r>
        <w:rPr>
          <w:rtl w:val="true"/>
        </w:rPr>
        <w:t xml:space="preserve">. </w:t>
      </w:r>
      <w:r>
        <w:rPr>
          <w:rtl w:val="true"/>
        </w:rPr>
        <w:t>כאן המקום לציין את דבריו של כבוד השופט ג</w:t>
      </w:r>
      <w:r>
        <w:rPr>
          <w:rtl w:val="true"/>
        </w:rPr>
        <w:t>'</w:t>
      </w:r>
      <w:r>
        <w:rPr>
          <w:rtl w:val="true"/>
        </w:rPr>
        <w:t>ובראן ב</w:t>
      </w:r>
      <w:hyperlink r:id="rId3">
        <w:r>
          <w:rPr>
            <w:rStyle w:val="Hyperlink"/>
            <w:rtl w:val="true"/>
          </w:rPr>
          <w:t>רע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6583/06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אבו דאחל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/>
        <w:t>2006</w:t>
      </w:r>
      <w:r>
        <w:rPr>
          <w:rtl w:val="true"/>
        </w:rPr>
        <w:t xml:space="preserve">): </w:t>
      </w:r>
    </w:p>
    <w:p>
      <w:pPr>
        <w:pStyle w:val="Ruller5"/>
        <w:spacing w:lineRule="auto" w:line="360" w:before="0" w:after="120"/>
        <w:ind w:start="540" w:end="720"/>
        <w:jc w:val="both"/>
        <w:rPr>
          <w:rFonts w:ascii="Times New Roman" w:hAnsi="Times New Roman" w:cs="David"/>
          <w:spacing w:val="0"/>
          <w:sz w:val="24"/>
          <w:szCs w:val="24"/>
        </w:rPr>
      </w:pPr>
      <w:r>
        <w:rPr>
          <w:rFonts w:cs="David" w:ascii="Times New Roman" w:hAnsi="Times New Roman"/>
          <w:spacing w:val="0"/>
          <w:sz w:val="24"/>
          <w:szCs w:val="24"/>
          <w:rtl w:val="true"/>
        </w:rPr>
        <w:t>"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הסכנה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הטמונה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בעבירה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החמורה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החזקת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נשק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מצדיקה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הטלת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עונשי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מאסר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לריצוי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בפועל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גם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שזו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עבירתו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הראשונה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.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בבוא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בית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-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המשפט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לשקול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את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הענישה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בעבירות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מסוג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זה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עליו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לתת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משקל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נכבד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יותר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לאינטרס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הציבורי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ולצורך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להרתיע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עבריינים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בכוח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מלבצע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עבירות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דומות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 xml:space="preserve">,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על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פני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הנסיבות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האישיות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של</w:t>
      </w:r>
      <w:r>
        <w:rPr>
          <w:rFonts w:ascii="Times New Roman" w:hAnsi="Times New Roman" w:cs="Times New Roman"/>
          <w:spacing w:val="0"/>
          <w:sz w:val="24"/>
          <w:sz w:val="24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 w:val="24"/>
          <w:sz w:val="24"/>
          <w:szCs w:val="24"/>
          <w:rtl w:val="true"/>
        </w:rPr>
        <w:t>העבריין</w:t>
      </w:r>
      <w:r>
        <w:rPr>
          <w:rFonts w:cs="David" w:ascii="Times New Roman" w:hAnsi="Times New Roman"/>
          <w:spacing w:val="0"/>
          <w:sz w:val="24"/>
          <w:szCs w:val="24"/>
          <w:rtl w:val="true"/>
        </w:rPr>
        <w:t>... ".</w:t>
      </w:r>
    </w:p>
    <w:p>
      <w:pPr>
        <w:pStyle w:val="Normal"/>
        <w:spacing w:lineRule="auto" w:line="360" w:before="0" w:after="120"/>
        <w:ind w:start="360" w:end="0"/>
        <w:jc w:val="both"/>
        <w:rPr>
          <w:rFonts w:ascii="Times New Roman" w:hAnsi="Times New Roman" w:cs="Times New Roman"/>
        </w:rPr>
      </w:pPr>
      <w:r>
        <w:rPr>
          <w:rtl w:val="true"/>
        </w:rPr>
        <w:t>כאמור הפסיקה מחמירה במדיניות הענישה בגין עבירת החזקת נשק</w:t>
      </w:r>
      <w:r>
        <w:rPr>
          <w:rtl w:val="true"/>
        </w:rPr>
        <w:t xml:space="preserve">. </w:t>
      </w:r>
      <w:r>
        <w:rPr>
          <w:rtl w:val="true"/>
        </w:rPr>
        <w:t>יחד עם זאת אציין כי הענישה הינה ענישה אינדיבידואלית ויש לבחון כל מקרה לגופו ועל פי הנסיבות הקונקרטיות של ביצוע העבירה ושל הנאשם</w:t>
      </w:r>
      <w:r>
        <w:rPr>
          <w:rtl w:val="true"/>
        </w:rPr>
        <w:t>.</w:t>
      </w:r>
    </w:p>
    <w:p>
      <w:pPr>
        <w:pStyle w:val="Style15"/>
        <w:numPr>
          <w:ilvl w:val="0"/>
          <w:numId w:val="3"/>
        </w:numPr>
        <w:ind w:hanging="360" w:start="360" w:end="0"/>
        <w:jc w:val="both"/>
        <w:rPr/>
      </w:pPr>
      <w:r>
        <w:rPr>
          <w:rtl w:val="true"/>
        </w:rPr>
        <w:t>עוד אציין כי קיימת חשיבות של ממש מבחינת חומרת העבירה לרקע ולמטרת החזקת הנשק</w:t>
      </w:r>
      <w:r>
        <w:rPr>
          <w:rtl w:val="true"/>
        </w:rPr>
        <w:t xml:space="preserve">. </w:t>
      </w:r>
      <w:r>
        <w:rPr>
          <w:rtl w:val="true"/>
        </w:rPr>
        <w:t>בעניין זה נקבעו ב</w:t>
      </w:r>
      <w:hyperlink r:id="rId4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ש </w:t>
        </w:r>
        <w:r>
          <w:rPr>
            <w:rStyle w:val="Hyperlink"/>
            <w:color w:val="0000FF"/>
            <w:u w:val="single"/>
          </w:rPr>
          <w:t>625/82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אבו מוך נ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מדינת ישראל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ד לז</w:t>
        </w:r>
      </w:hyperlink>
      <w:r>
        <w:rPr>
          <w:rtl w:val="true"/>
        </w:rPr>
        <w:t>(</w:t>
      </w:r>
      <w:r>
        <w:rPr/>
        <w:t>3</w:t>
      </w:r>
      <w:r>
        <w:rPr>
          <w:rtl w:val="true"/>
        </w:rPr>
        <w:t xml:space="preserve">) </w:t>
      </w:r>
      <w:r>
        <w:rPr/>
        <w:t>668</w:t>
      </w:r>
      <w:r>
        <w:rPr>
          <w:rtl w:val="true"/>
        </w:rPr>
        <w:t xml:space="preserve"> (</w:t>
      </w:r>
      <w:r>
        <w:rPr/>
        <w:t>1928</w:t>
      </w:r>
      <w:r>
        <w:rPr>
          <w:rtl w:val="true"/>
        </w:rPr>
        <w:t xml:space="preserve">) </w:t>
      </w:r>
      <w:r>
        <w:rPr>
          <w:rtl w:val="true"/>
        </w:rPr>
        <w:t>מספר קטגוריות שונות</w:t>
      </w:r>
      <w:r>
        <w:rPr>
          <w:rtl w:val="true"/>
        </w:rPr>
        <w:t xml:space="preserve">. </w:t>
      </w:r>
      <w:r>
        <w:rPr>
          <w:rtl w:val="true"/>
        </w:rPr>
        <w:t>קטגוריות אלה אמנם נקבעו בהקשר של העילה למעצר עד תום ההליכים</w:t>
      </w:r>
      <w:r>
        <w:rPr>
          <w:rtl w:val="true"/>
        </w:rPr>
        <w:t xml:space="preserve">, </w:t>
      </w:r>
      <w:r>
        <w:rPr>
          <w:rtl w:val="true"/>
        </w:rPr>
        <w:t>ואולם הפסיקה עשתה בהן שימוש</w:t>
      </w:r>
      <w:r>
        <w:rPr>
          <w:rtl w:val="true"/>
        </w:rPr>
        <w:t xml:space="preserve">, </w:t>
      </w:r>
      <w:r>
        <w:rPr>
          <w:rtl w:val="true"/>
        </w:rPr>
        <w:t>בשינויים המחוייבים</w:t>
      </w:r>
      <w:r>
        <w:rPr>
          <w:rtl w:val="true"/>
        </w:rPr>
        <w:t xml:space="preserve">, </w:t>
      </w:r>
      <w:r>
        <w:rPr>
          <w:rtl w:val="true"/>
        </w:rPr>
        <w:t xml:space="preserve">אף לעניין גזירת הדין </w:t>
      </w:r>
      <w:r>
        <w:rPr>
          <w:rtl w:val="true"/>
        </w:rPr>
        <w:t>(</w:t>
      </w:r>
      <w:r>
        <w:rPr>
          <w:rtl w:val="true"/>
        </w:rPr>
        <w:t>ר</w:t>
      </w:r>
      <w:r>
        <w:rPr>
          <w:rtl w:val="true"/>
        </w:rPr>
        <w:t xml:space="preserve">' </w:t>
      </w:r>
      <w:hyperlink r:id="rId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207/08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 xml:space="preserve">בלטי </w:t>
      </w:r>
      <w:r>
        <w:rPr>
          <w:rtl w:val="true"/>
        </w:rPr>
        <w:t>(</w:t>
      </w:r>
      <w:r>
        <w:rPr/>
        <w:t>2008</w:t>
      </w:r>
      <w:r>
        <w:rPr>
          <w:rtl w:val="true"/>
        </w:rPr>
        <w:t xml:space="preserve">), </w:t>
      </w:r>
      <w:r>
        <w:rPr>
          <w:rtl w:val="true"/>
        </w:rPr>
        <w:t>מפי כב</w:t>
      </w:r>
      <w:r>
        <w:rPr>
          <w:rtl w:val="true"/>
        </w:rPr>
        <w:t xml:space="preserve">' </w:t>
      </w:r>
      <w:r>
        <w:rPr>
          <w:rtl w:val="true"/>
        </w:rPr>
        <w:t>שופט מ</w:t>
      </w:r>
      <w:r>
        <w:rPr>
          <w:rtl w:val="true"/>
        </w:rPr>
        <w:t xml:space="preserve">' </w:t>
      </w:r>
      <w:r>
        <w:rPr>
          <w:rtl w:val="true"/>
        </w:rPr>
        <w:t>דרורי</w:t>
      </w:r>
      <w:r>
        <w:rPr>
          <w:rtl w:val="true"/>
        </w:rPr>
        <w:t>).</w:t>
      </w:r>
    </w:p>
    <w:p>
      <w:pPr>
        <w:pStyle w:val="Normal"/>
        <w:spacing w:lineRule="auto" w:line="360" w:before="0" w:after="120"/>
        <w:ind w:start="360" w:end="0"/>
        <w:jc w:val="both"/>
        <w:rPr/>
      </w:pPr>
      <w:r>
        <w:rPr>
          <w:rtl w:val="true"/>
        </w:rPr>
        <w:t>הנאשם בתיק דנן הסביר כי מצא את הנשק ולא ידע מה לעשות בו ולכן החביא אותו בביתו</w:t>
      </w:r>
      <w:r>
        <w:rPr>
          <w:rtl w:val="true"/>
        </w:rPr>
        <w:t xml:space="preserve">. </w:t>
      </w:r>
      <w:r>
        <w:rPr>
          <w:rtl w:val="true"/>
        </w:rPr>
        <w:t>התביעה לא סיפקה כל הסבר אחר להימצאות הנשק אצל הנאשם</w:t>
      </w:r>
      <w:r>
        <w:rPr>
          <w:rtl w:val="true"/>
        </w:rPr>
        <w:t xml:space="preserve">. </w:t>
      </w:r>
      <w:r>
        <w:rPr>
          <w:rtl w:val="true"/>
        </w:rPr>
        <w:t>על כן נראה כי מבחינת מטרת החזקת הנשק</w:t>
      </w:r>
      <w:r>
        <w:rPr>
          <w:rtl w:val="true"/>
        </w:rPr>
        <w:t xml:space="preserve">, </w:t>
      </w:r>
      <w:r>
        <w:rPr>
          <w:rtl w:val="true"/>
        </w:rPr>
        <w:t>ועל פי הלכת אבו מוך לעיל המעשה נמצא ברף הנמוך של חומרת העבירה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במסגרת השיקולים לקולא אני זוקף לזכות את הנאשם את העובדה כי כבר בהזדמנות הראשונה הודה במיוחס לו הן בחקירה במשטרה והן בבית המשפט</w:t>
      </w:r>
      <w:r>
        <w:rPr>
          <w:rtl w:val="true"/>
        </w:rPr>
        <w:t xml:space="preserve">. </w:t>
      </w:r>
      <w:r>
        <w:rPr>
          <w:rtl w:val="true"/>
        </w:rPr>
        <w:t xml:space="preserve">הנאשם בן </w:t>
      </w:r>
      <w:r>
        <w:rPr/>
        <w:t>36</w:t>
      </w:r>
      <w:r>
        <w:rPr>
          <w:rtl w:val="true"/>
        </w:rPr>
        <w:t xml:space="preserve">, </w:t>
      </w:r>
      <w:r>
        <w:rPr>
          <w:rtl w:val="true"/>
        </w:rPr>
        <w:t>נעדר כל עבר פלילי</w:t>
      </w:r>
      <w:r>
        <w:rPr>
          <w:rtl w:val="true"/>
        </w:rPr>
        <w:t xml:space="preserve">. </w:t>
      </w:r>
      <w:r>
        <w:rPr>
          <w:rtl w:val="true"/>
        </w:rPr>
        <w:t>בנוסף הנאשם מצוי במצב בריאותי קשה וסובל מפגיעת ראש עקב תאונת דרכים שעבר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הנאשם הביע צער וחרטה על מעשיו וטען כי נטל והחביא את הנשק עקב חוסר הבנה וידיעה מה לעשות עם הנשק לאחר שמצא אותו</w:t>
      </w:r>
      <w:r>
        <w:rPr>
          <w:rtl w:val="true"/>
        </w:rPr>
        <w:t>.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התסקיר בעניינו של הנאשם הינו חיובי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יש בניהול הליכים משפטיים כנגד הנאשם כדי לסייע בהצבת גבולות והפחתת הסיכון להישנות התנהגות דומה בעתיד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3"/>
        </w:numPr>
        <w:spacing w:lineRule="auto" w:line="360" w:before="0" w:after="120"/>
        <w:ind w:hanging="360" w:start="360" w:end="0"/>
        <w:jc w:val="both"/>
        <w:rPr/>
      </w:pPr>
      <w:r>
        <w:rPr>
          <w:rtl w:val="true"/>
        </w:rPr>
        <w:t>באיזון הכולל בין שיקולי הענישה השונים</w:t>
      </w:r>
      <w:r>
        <w:rPr>
          <w:rtl w:val="true"/>
        </w:rPr>
        <w:t xml:space="preserve">, </w:t>
      </w:r>
      <w:r>
        <w:rPr>
          <w:rtl w:val="true"/>
        </w:rPr>
        <w:t>סבורני שיש להורות על עונש של מאסר שירוצה על דרך של עבודות שירות</w:t>
      </w:r>
      <w:r>
        <w:rPr>
          <w:rtl w:val="true"/>
        </w:rPr>
        <w:t xml:space="preserve">, </w:t>
      </w:r>
      <w:r>
        <w:rPr>
          <w:rtl w:val="true"/>
        </w:rPr>
        <w:t>וכן להטיל על הנאשם קנס כספי</w:t>
      </w:r>
      <w:r>
        <w:rPr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>
          <w:u w:val="single"/>
          <w:rtl w:val="true"/>
        </w:rPr>
        <w:t>סוף דבר</w:t>
      </w:r>
    </w:p>
    <w:p>
      <w:pPr>
        <w:pStyle w:val="Normal"/>
        <w:spacing w:lineRule="auto" w:line="360" w:before="0" w:after="120"/>
        <w:ind w:end="0"/>
        <w:jc w:val="both"/>
        <w:rPr>
          <w:u w:val="single"/>
        </w:rPr>
      </w:pPr>
      <w:r>
        <w:rPr/>
        <w:t>22</w:t>
      </w:r>
      <w:r>
        <w:rPr>
          <w:rtl w:val="true"/>
        </w:rPr>
        <w:t>.</w:t>
      </w:r>
      <w:r>
        <w:rPr>
          <w:u w:val="single"/>
          <w:rtl w:val="true"/>
        </w:rPr>
        <w:t xml:space="preserve"> </w:t>
      </w:r>
      <w:r>
        <w:rPr>
          <w:u w:val="single"/>
          <w:rtl w:val="true"/>
        </w:rPr>
        <w:t>אשר על כן</w:t>
      </w:r>
      <w:r>
        <w:rPr>
          <w:u w:val="single"/>
          <w:rtl w:val="true"/>
        </w:rPr>
        <w:t xml:space="preserve">, </w:t>
      </w:r>
      <w:r>
        <w:rPr>
          <w:u w:val="single"/>
          <w:rtl w:val="true"/>
        </w:rPr>
        <w:t>אני גוזר על הנאשם את העונשים הבאים</w:t>
      </w:r>
      <w:r>
        <w:rPr>
          <w:u w:val="single"/>
          <w:rtl w:val="true"/>
        </w:rPr>
        <w:t>:</w:t>
      </w:r>
    </w:p>
    <w:p>
      <w:pPr>
        <w:pStyle w:val="Style16"/>
        <w:numPr>
          <w:ilvl w:val="0"/>
          <w:numId w:val="4"/>
        </w:numPr>
        <w:ind w:hanging="360" w:start="717" w:end="0"/>
        <w:jc w:val="both"/>
        <w:rPr>
          <w:sz w:val="22"/>
        </w:rPr>
      </w:pPr>
      <w:r>
        <w:rPr>
          <w:rtl w:val="true"/>
        </w:rPr>
        <w:t>שישה חודשי מאסר בפועל אשר ירוצו בדרך של עבודות שירות</w:t>
      </w:r>
      <w:r>
        <w:rPr>
          <w:rtl w:val="true"/>
        </w:rPr>
        <w:t xml:space="preserve">. </w:t>
      </w:r>
      <w:r>
        <w:rPr>
          <w:rtl w:val="true"/>
        </w:rPr>
        <w:t>עבודות השירות תבוצענה בהתאם להמלצת הממונה על עבודות השירות במתנ</w:t>
      </w:r>
      <w:r>
        <w:rPr>
          <w:rtl w:val="true"/>
        </w:rPr>
        <w:t>"</w:t>
      </w:r>
      <w:r>
        <w:rPr>
          <w:rtl w:val="true"/>
        </w:rPr>
        <w:t xml:space="preserve">ס גני יער ברחוב אילון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בעיר לוד בימים א</w:t>
      </w:r>
      <w:r>
        <w:rPr>
          <w:rtl w:val="true"/>
        </w:rPr>
        <w:t>'-</w:t>
      </w:r>
      <w:r>
        <w:rPr>
          <w:rtl w:val="true"/>
        </w:rPr>
        <w:t>ה</w:t>
      </w:r>
      <w:r>
        <w:rPr>
          <w:rtl w:val="true"/>
        </w:rPr>
        <w:t xml:space="preserve">' </w:t>
      </w:r>
      <w:r>
        <w:rPr>
          <w:rtl w:val="true"/>
        </w:rPr>
        <w:t xml:space="preserve">בין השעות </w:t>
      </w:r>
      <w:r>
        <w:rPr/>
        <w:t>07:30-15:30</w:t>
      </w:r>
      <w:r>
        <w:rPr>
          <w:rtl w:val="true"/>
        </w:rPr>
        <w:t xml:space="preserve">. </w:t>
      </w:r>
      <w:r>
        <w:rPr>
          <w:rtl w:val="true"/>
        </w:rPr>
        <w:t xml:space="preserve">תחילת עבודות השירות ביום </w:t>
      </w:r>
      <w:r>
        <w:rPr/>
        <w:t>6.9.09</w:t>
      </w:r>
      <w:r>
        <w:rPr>
          <w:rtl w:val="true"/>
        </w:rPr>
        <w:t>.</w:t>
      </w:r>
    </w:p>
    <w:p>
      <w:pPr>
        <w:pStyle w:val="Style16"/>
        <w:numPr>
          <w:ilvl w:val="0"/>
          <w:numId w:val="4"/>
        </w:numPr>
        <w:ind w:hanging="360" w:start="717" w:end="0"/>
        <w:jc w:val="both"/>
        <w:rPr>
          <w:sz w:val="22"/>
        </w:rPr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על תנאי לבל יעבור הנאשם על עבירה בה הורשע במשך שלוש שנים מהיום</w:t>
      </w:r>
      <w:r>
        <w:rPr>
          <w:rtl w:val="true"/>
        </w:rPr>
        <w:t>.</w:t>
      </w:r>
    </w:p>
    <w:p>
      <w:pPr>
        <w:pStyle w:val="Style15"/>
        <w:numPr>
          <w:ilvl w:val="0"/>
          <w:numId w:val="4"/>
        </w:numPr>
        <w:ind w:hanging="360" w:start="717" w:end="0"/>
        <w:jc w:val="both"/>
        <w:rPr/>
      </w:pPr>
      <w:r>
        <w:rPr>
          <w:rtl w:val="true"/>
        </w:rPr>
        <w:t xml:space="preserve">קנס כספי בסך </w:t>
      </w:r>
      <w:r>
        <w:rPr/>
        <w:t>3,000</w:t>
      </w:r>
      <w:r>
        <w:rPr>
          <w:rtl w:val="true"/>
        </w:rPr>
        <w:t xml:space="preserve"> ₪ </w:t>
      </w:r>
      <w:r>
        <w:rPr>
          <w:rtl w:val="true"/>
        </w:rPr>
        <w:t>או חודשיים מאסר תמורתו</w:t>
      </w:r>
      <w:r>
        <w:rPr>
          <w:rtl w:val="true"/>
        </w:rPr>
        <w:t xml:space="preserve">. </w:t>
      </w:r>
      <w:r>
        <w:rPr>
          <w:rtl w:val="true"/>
        </w:rPr>
        <w:t xml:space="preserve">הקנס ישולם בחמישה תשלומים שווים ורצופים שהראשון שבהם ביום </w:t>
      </w:r>
      <w:r>
        <w:rPr/>
        <w:t>1.8.09</w:t>
      </w:r>
      <w:r>
        <w:rPr>
          <w:rtl w:val="true"/>
        </w:rPr>
        <w:t xml:space="preserve">. </w:t>
      </w:r>
      <w:r>
        <w:rPr>
          <w:rtl w:val="true"/>
        </w:rPr>
        <w:t>לבקשת הנאשם</w:t>
      </w:r>
      <w:r>
        <w:rPr>
          <w:rtl w:val="true"/>
        </w:rPr>
        <w:t xml:space="preserve">, </w:t>
      </w:r>
      <w:r>
        <w:rPr>
          <w:rtl w:val="true"/>
        </w:rPr>
        <w:t>הקנס יקוזז מתוך סכום הפיקדון שהפקיד ב</w:t>
      </w:r>
      <w:hyperlink r:id="rId6"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ש </w:t>
        </w:r>
        <w:r>
          <w:rPr>
            <w:rStyle w:val="Hyperlink"/>
            <w:color w:val="0000FF"/>
            <w:u w:val="single"/>
          </w:rPr>
          <w:t>2153/09</w:t>
        </w:r>
      </w:hyperlink>
      <w:r>
        <w:rPr>
          <w:rtl w:val="true"/>
        </w:rPr>
        <w:t xml:space="preserve"> </w:t>
      </w:r>
      <w:r>
        <w:rPr>
          <w:rtl w:val="true"/>
        </w:rPr>
        <w:t>והיתרה תושב לנאשם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4"/>
        </w:numPr>
        <w:ind w:hanging="360" w:start="717" w:end="0"/>
        <w:jc w:val="both"/>
        <w:rPr/>
      </w:pPr>
      <w:r>
        <w:rPr>
          <w:rtl w:val="true"/>
        </w:rPr>
        <w:t>אני מורה על צו מבחן לפיו יעמוד הנאשם בפיקוח שירות המבחן למשך שנה מהיום</w:t>
      </w:r>
      <w:r>
        <w:rPr>
          <w:rtl w:val="true"/>
        </w:rPr>
        <w:t>.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  <w:t>המזכירות תשלח העתק גזר הדין לשירות המבחן ולממונה על עבודות השירות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  <w:t>הנשק והתחמושות שנתפסו יחולטו</w:t>
      </w:r>
      <w:r>
        <w:rPr>
          <w:rtl w:val="true"/>
        </w:rPr>
        <w:t xml:space="preserve">. </w:t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</w:r>
    </w:p>
    <w:p>
      <w:pPr>
        <w:pStyle w:val="Style15"/>
        <w:numPr>
          <w:ilvl w:val="0"/>
          <w:numId w:val="0"/>
        </w:numPr>
        <w:tabs>
          <w:tab w:val="left" w:pos="720" w:leader="none"/>
        </w:tabs>
        <w:ind w:hanging="357" w:start="357" w:end="360"/>
        <w:jc w:val="both"/>
        <w:rPr/>
      </w:pPr>
      <w:r>
        <w:rPr>
          <w:rtl w:val="true"/>
        </w:rPr>
        <w:t>זכות ערעור לבית</w:t>
      </w:r>
      <w:r>
        <w:rPr>
          <w:rtl w:val="true"/>
        </w:rPr>
        <w:t>-</w:t>
      </w:r>
      <w:r>
        <w:rPr>
          <w:rtl w:val="true"/>
        </w:rPr>
        <w:t>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תוך </w:t>
      </w:r>
      <w:r>
        <w:rPr/>
        <w:t>45</w:t>
      </w:r>
      <w:r>
        <w:rPr>
          <w:rtl w:val="true"/>
        </w:rPr>
        <w:t xml:space="preserve"> </w:t>
      </w:r>
      <w:r>
        <w:rPr>
          <w:rtl w:val="true"/>
        </w:rPr>
        <w:t>ימים מהיום</w:t>
      </w:r>
      <w:r>
        <w:rPr>
          <w:rtl w:val="true"/>
        </w:rPr>
        <w:t>.</w:t>
      </w:r>
    </w:p>
    <w:p>
      <w:pPr>
        <w:pStyle w:val="David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#4#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 תמוז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13/07/2009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ד</w:t>
      </w:r>
      <w:r>
        <w:rPr>
          <w:color w:val="000000"/>
          <w:sz w:val="22"/>
          <w:szCs w:val="22"/>
          <w:rtl w:val="true"/>
        </w:rPr>
        <w:t>"</w:t>
      </w:r>
      <w:r>
        <w:rPr>
          <w:color w:val="000000"/>
          <w:sz w:val="22"/>
          <w:sz w:val="22"/>
          <w:szCs w:val="22"/>
          <w:rtl w:val="true"/>
        </w:rPr>
        <w:t xml:space="preserve">ר עמי קובו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David"/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</w:t>
            </w:r>
            <w:r>
              <w:rPr>
                <w:rFonts w:cs="David"/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 xml:space="preserve">ר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עמי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קובו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rFonts w:cs="David"/>
                <w:b/>
                <w:bCs/>
                <w:rtl w:val="true"/>
              </w:rPr>
              <w:t xml:space="preserve">,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rtl w:val="true"/>
              </w:rPr>
              <w:t>שופט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ליטל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גודלי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000000"/>
          <w:sz w:val="28"/>
          <w:sz w:val="28"/>
          <w:szCs w:val="28"/>
          <w:rtl w:val="true"/>
        </w:rPr>
        <w:t>נוסח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מסמך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זה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כפוף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לשינויי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ניסוח</w:t>
      </w:r>
      <w:r>
        <w:rPr>
          <w:color w:val="000000"/>
          <w:sz w:val="28"/>
          <w:sz w:val="28"/>
          <w:szCs w:val="28"/>
          <w:rtl w:val="true"/>
        </w:rPr>
        <w:t xml:space="preserve"> </w:t>
      </w:r>
      <w:r>
        <w:rPr>
          <w:rFonts w:cs="FrankRuehl"/>
          <w:color w:val="000000"/>
          <w:sz w:val="28"/>
          <w:sz w:val="28"/>
          <w:szCs w:val="28"/>
          <w:rtl w:val="true"/>
        </w:rPr>
        <w:t>ועריכה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hyperlink r:id="rId7"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הודעה למנויים על עריכה ושינויים במסמכי פסיקה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 xml:space="preserve">חקיקה ועוד באתר נבו </w:t>
        </w:r>
        <w:r>
          <w:rPr>
            <w:rStyle w:val="Hyperlink"/>
            <w:color w:val="0000FF"/>
            <w:sz w:val="28"/>
            <w:u w:val="single"/>
            <w:rtl w:val="true"/>
          </w:rPr>
          <w:t xml:space="preserve">- </w:t>
        </w:r>
        <w:r>
          <w:rPr>
            <w:rStyle w:val="Hyperlink"/>
            <w:color w:val="0000FF"/>
            <w:sz w:val="28"/>
            <w:sz w:val="28"/>
            <w:u w:val="single"/>
            <w:rtl w:val="true"/>
          </w:rPr>
          <w:t>הקש כאן</w:t>
        </w:r>
      </w:hyperlink>
    </w:p>
    <w:p>
      <w:pPr>
        <w:pStyle w:val="Normal"/>
        <w:ind w:end="0"/>
        <w:jc w:val="center"/>
        <w:rPr>
          <w:color w:val="0000FF"/>
          <w:sz w:val="28"/>
          <w:u w:val="single"/>
        </w:rPr>
      </w:pPr>
      <w:r>
        <w:rPr>
          <w:color w:val="0000FF"/>
          <w:sz w:val="28"/>
          <w:u w:val="single"/>
          <w:rtl w:val="true"/>
        </w:rPr>
      </w:r>
    </w:p>
    <w:sectPr>
      <w:headerReference w:type="default" r:id="rId8"/>
      <w:footerReference w:type="default" r:id="rId9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/Users/liorb/Downloads/study2025-p2/SH-09-1267-833.doc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רמ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1267-09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פרקליטות מחוז המרכז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אלעאסם ריאד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  <w:lvl w:ilvl="1">
      <w:start w:val="1"/>
      <w:isLgl/>
      <w:numFmt w:val="decimal"/>
      <w:lvlText w:val="%1.%2"/>
      <w:lvlJc w:val="start"/>
      <w:pPr>
        <w:tabs>
          <w:tab w:val="num" w:pos="360"/>
        </w:tabs>
        <w:ind w:start="360" w:hanging="360"/>
      </w:pPr>
    </w:lvl>
    <w:lvl w:ilvl="2">
      <w:start w:val="1"/>
      <w:isLgl/>
      <w:numFmt w:val="decimal"/>
      <w:lvlText w:val="%1.%2.%3"/>
      <w:lvlJc w:val="start"/>
      <w:pPr>
        <w:tabs>
          <w:tab w:val="num" w:pos="720"/>
        </w:tabs>
        <w:ind w:start="720" w:hanging="720"/>
      </w:pPr>
    </w:lvl>
    <w:lvl w:ilvl="3">
      <w:start w:val="1"/>
      <w:isLgl/>
      <w:numFmt w:val="decimal"/>
      <w:lvlText w:val="%1.%2.%3.%4"/>
      <w:lvlJc w:val="start"/>
      <w:pPr>
        <w:tabs>
          <w:tab w:val="num" w:pos="720"/>
        </w:tabs>
        <w:ind w:start="720" w:hanging="720"/>
      </w:pPr>
    </w:lvl>
    <w:lvl w:ilvl="4">
      <w:start w:val="1"/>
      <w:isLgl/>
      <w:numFmt w:val="decimal"/>
      <w:lvlText w:val="%1.%2.%3.%4.%5"/>
      <w:lvlJc w:val="start"/>
      <w:pPr>
        <w:tabs>
          <w:tab w:val="num" w:pos="1080"/>
        </w:tabs>
        <w:ind w:start="1080" w:hanging="1080"/>
      </w:pPr>
    </w:lvl>
    <w:lvl w:ilvl="5">
      <w:start w:val="1"/>
      <w:isLgl/>
      <w:numFmt w:val="decimal"/>
      <w:lvlText w:val="%1.%2.%3.%4.%5.%6"/>
      <w:lvlJc w:val="start"/>
      <w:pPr>
        <w:tabs>
          <w:tab w:val="num" w:pos="1080"/>
        </w:tabs>
        <w:ind w:start="1080" w:hanging="1080"/>
      </w:pPr>
    </w:lvl>
    <w:lvl w:ilvl="6">
      <w:start w:val="1"/>
      <w:isLgl/>
      <w:numFmt w:val="decimal"/>
      <w:lvlText w:val="%1.%2.%3.%4.%5.%6.%7"/>
      <w:lvlJc w:val="start"/>
      <w:pPr>
        <w:tabs>
          <w:tab w:val="num" w:pos="1080"/>
        </w:tabs>
        <w:ind w:start="1080" w:hanging="1080"/>
      </w:pPr>
    </w:lvl>
    <w:lvl w:ilvl="7">
      <w:start w:val="1"/>
      <w:isLgl/>
      <w:numFmt w:val="decimal"/>
      <w:lvlText w:val="%1.%2.%3.%4.%5.%6.%7.%8"/>
      <w:lvlJc w:val="start"/>
      <w:pPr>
        <w:tabs>
          <w:tab w:val="num" w:pos="1440"/>
        </w:tabs>
        <w:ind w:start="1440" w:hanging="1440"/>
      </w:pPr>
    </w:lvl>
    <w:lvl w:ilvl="8">
      <w:start w:val="1"/>
      <w:isLgl/>
      <w:numFmt w:val="decimal"/>
      <w:lvlText w:val="%1.%2.%3.%4.%5.%6.%7.%8.%9"/>
      <w:lvlJc w:val="start"/>
      <w:pPr>
        <w:tabs>
          <w:tab w:val="num" w:pos="1440"/>
        </w:tabs>
        <w:ind w:start="1440" w:hanging="1440"/>
      </w:pPr>
    </w:lvl>
  </w:abstractNum>
  <w:abstractNum w:abstractNumId="3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4">
    <w:lvl w:ilvl="0">
      <w:start w:val="1"/>
      <w:numFmt w:val="hebrew1"/>
      <w:lvlText w:val="%1."/>
      <w:lvlJc w:val="end"/>
      <w:pPr>
        <w:tabs>
          <w:tab w:val="num" w:pos="717"/>
        </w:tabs>
        <w:ind w:start="717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1267-09"/>
    <w:docVar w:name="caseId" w:val="12315390"/>
    <w:docVar w:name="deriveClass" w:val="NGCS.Protocol.BL.Client.ProtocolBLClientCriminal"/>
    <w:docVar w:name="firstPageNumber" w:val="4"/>
    <w:docVar w:name="MyInfo" w:val="This document was extracted from Nevo's site"/>
    <w:docVar w:name="NGCS.caseInterestID" w:val="-1"/>
    <w:docVar w:name="NGCS.caseTypeID" w:val="-1"/>
    <w:docVar w:name="NGCS.courtID" w:val="-1"/>
    <w:docVar w:name="NGCS.isReservedAddressPlace" w:val="0"/>
    <w:docVar w:name="NGCS.isReservedVoucherPlace" w:val="0"/>
    <w:docVar w:name="NGCS.proceedingID" w:val="-1"/>
    <w:docVar w:name="NGCS.TemplateCategoryID" w:val="14"/>
    <w:docVar w:name="NGCS.userUPN" w:val="כולם"/>
    <w:docVar w:name="privellegeId" w:val="1"/>
    <w:docVar w:name="protocolId" w:val="400584"/>
    <w:docVar w:name="releaseSign" w:val="0"/>
    <w:docVar w:name="sittingDateTime" w:val="13/07/2009 09:00     "/>
    <w:docVar w:name="sittingId" w:val="15573134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8z0">
    <w:name w:val="WW8Num8z0"/>
    <w:qFormat/>
    <w:rPr/>
  </w:style>
  <w:style w:type="character" w:styleId="WW8Num10z0">
    <w:name w:val="WW8Num10z0"/>
    <w:qFormat/>
    <w:rPr/>
  </w:style>
  <w:style w:type="character" w:styleId="WW8Num14z0">
    <w:name w:val="WW8Num14z0"/>
    <w:qFormat/>
    <w:rPr/>
  </w:style>
  <w:style w:type="character" w:styleId="WW8Num15z0">
    <w:name w:val="WW8Num15z0"/>
    <w:qFormat/>
    <w:rPr/>
  </w:style>
  <w:style w:type="character" w:styleId="Style11">
    <w:name w:val="גופן ברירת המחדל של פיסקה"/>
    <w:qFormat/>
    <w:rPr/>
  </w:style>
  <w:style w:type="character" w:styleId="Style12">
    <w:name w:val="הפנייה להערה"/>
    <w:basedOn w:val="Style11"/>
    <w:qFormat/>
    <w:rPr>
      <w:sz w:val="16"/>
      <w:szCs w:val="16"/>
    </w:rPr>
  </w:style>
  <w:style w:type="character" w:styleId="PageNumber">
    <w:name w:val="page number"/>
    <w:basedOn w:val="Style11"/>
    <w:rPr/>
  </w:style>
  <w:style w:type="character" w:styleId="LineNumber">
    <w:name w:val="line number"/>
    <w:basedOn w:val="Style11"/>
    <w:rPr>
      <w:rFonts w:cs="Arial"/>
      <w:szCs w:val="20"/>
    </w:rPr>
  </w:style>
  <w:style w:type="character" w:styleId="Hyperlink">
    <w:name w:val="Hyperlink"/>
    <w:basedOn w:val="Style11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3">
    <w:name w:val="טקסט הערה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Style14">
    <w:name w:val="טקסט בלונים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5">
    <w:name w:val="רשימה ממוספרת"/>
    <w:basedOn w:val="Normal"/>
    <w:qFormat/>
    <w:pPr>
      <w:numPr>
        <w:ilvl w:val="0"/>
        <w:numId w:val="2"/>
      </w:numPr>
      <w:spacing w:lineRule="auto" w:line="360" w:before="0" w:after="120"/>
      <w:ind w:hanging="357" w:start="357" w:end="0"/>
      <w:jc w:val="both"/>
    </w:pPr>
    <w:rPr>
      <w:rFonts w:ascii="Times New Roman" w:hAnsi="Times New Roman" w:eastAsia="Times New Roman" w:cs="Times New Roman"/>
    </w:rPr>
  </w:style>
  <w:style w:type="paragraph" w:styleId="Ruller5">
    <w:name w:val="Ruller5"/>
    <w:basedOn w:val="Normal"/>
    <w:qFormat/>
    <w:pPr>
      <w:overflowPunct w:val="false"/>
      <w:autoSpaceDE w:val="false"/>
      <w:ind w:hanging="0" w:start="1642" w:end="1282"/>
      <w:jc w:val="both"/>
    </w:pPr>
    <w:rPr>
      <w:rFonts w:ascii="Arial TUR;Arial" w:hAnsi="Arial TUR;Arial" w:eastAsia="Times New Roman" w:cs="FrankRuehl"/>
      <w:spacing w:val="10"/>
      <w:sz w:val="22"/>
      <w:szCs w:val="28"/>
    </w:rPr>
  </w:style>
  <w:style w:type="paragraph" w:styleId="Style16">
    <w:name w:val="ללא מספור"/>
    <w:basedOn w:val="Normal"/>
    <w:qFormat/>
    <w:pPr>
      <w:spacing w:lineRule="auto" w:line="360" w:before="0" w:after="120"/>
      <w:ind w:hanging="0" w:start="386" w:end="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inks/psika/?link=&#1512;&#1506;&#1508;%206583/06" TargetMode="External"/><Relationship Id="rId4" Type="http://schemas.openxmlformats.org/officeDocument/2006/relationships/hyperlink" Target="http://www.nevo.co.il/links/psika/?link=&#1489;&#1513;%20625/82&amp;Pvol=&#1500;&#1494;" TargetMode="External"/><Relationship Id="rId5" Type="http://schemas.openxmlformats.org/officeDocument/2006/relationships/hyperlink" Target="http://www.nevo.co.il/links/psika/?link=&#1514;&#1508;%20207/08" TargetMode="External"/><Relationship Id="rId6" Type="http://schemas.openxmlformats.org/officeDocument/2006/relationships/hyperlink" Target="http://www.nevo.co.il/links/psika/?link=&#1489;&#1513;%202153/09" TargetMode="External"/><Relationship Id="rId7" Type="http://schemas.openxmlformats.org/officeDocument/2006/relationships/hyperlink" Target="http://www.nevo.co.il/advertisements/nevo-100.doc" TargetMode="Externa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2009-07-14T17:12:00Z</dcterms:created>
  <dc:creator> </dc:creator>
  <dc:description/>
  <cp:keywords/>
  <dc:language>en-IL</dc:language>
  <cp:lastModifiedBy>hofit</cp:lastModifiedBy>
  <cp:lastPrinted>2009-07-13T10:18:00Z</cp:lastPrinted>
  <dcterms:modified xsi:type="dcterms:W3CDTF">2009-07-19T11:39:00Z</dcterms:modified>
  <cp:revision>3</cp:revision>
  <dc:subject> </dc:subject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פרקליטות מחוז המרכז</vt:lpwstr>
  </property>
  <property fmtid="{D5CDD505-2E9C-101B-9397-08002B2CF9AE}" pid="3" name="APPELLEE">
    <vt:lpwstr>אלעאסם ריאד</vt:lpwstr>
  </property>
  <property fmtid="{D5CDD505-2E9C-101B-9397-08002B2CF9AE}" pid="4" name="CITY">
    <vt:lpwstr>רמ'</vt:lpwstr>
  </property>
  <property fmtid="{D5CDD505-2E9C-101B-9397-08002B2CF9AE}" pid="5" name="DATE">
    <vt:lpwstr>20090713</vt:lpwstr>
  </property>
  <property fmtid="{D5CDD505-2E9C-101B-9397-08002B2CF9AE}" pid="6" name="DELEMATA">
    <vt:lpwstr/>
  </property>
  <property fmtid="{D5CDD505-2E9C-101B-9397-08002B2CF9AE}" pid="7" name="JUDGE">
    <vt:lpwstr>ד#ר עמי קובו</vt:lpwstr>
  </property>
  <property fmtid="{D5CDD505-2E9C-101B-9397-08002B2CF9AE}" pid="8" name="LAWYER">
    <vt:lpwstr>ינאי גורני;קדרי</vt:lpwstr>
  </property>
  <property fmtid="{D5CDD505-2E9C-101B-9397-08002B2CF9AE}" pid="9" name="LINKK1">
    <vt:lpwstr/>
  </property>
  <property fmtid="{D5CDD505-2E9C-101B-9397-08002B2CF9AE}" pid="10" name="LINKK10">
    <vt:lpwstr/>
  </property>
  <property fmtid="{D5CDD505-2E9C-101B-9397-08002B2CF9AE}" pid="11" name="LINKK11">
    <vt:lpwstr/>
  </property>
  <property fmtid="{D5CDD505-2E9C-101B-9397-08002B2CF9AE}" pid="12" name="LINKK12">
    <vt:lpwstr/>
  </property>
  <property fmtid="{D5CDD505-2E9C-101B-9397-08002B2CF9AE}" pid="13" name="LINKK2">
    <vt:lpwstr/>
  </property>
  <property fmtid="{D5CDD505-2E9C-101B-9397-08002B2CF9AE}" pid="14" name="LINKK3">
    <vt:lpwstr/>
  </property>
  <property fmtid="{D5CDD505-2E9C-101B-9397-08002B2CF9AE}" pid="15" name="LINKK4">
    <vt:lpwstr/>
  </property>
  <property fmtid="{D5CDD505-2E9C-101B-9397-08002B2CF9AE}" pid="16" name="LINKK5">
    <vt:lpwstr/>
  </property>
  <property fmtid="{D5CDD505-2E9C-101B-9397-08002B2CF9AE}" pid="17" name="LINKK6">
    <vt:lpwstr/>
  </property>
  <property fmtid="{D5CDD505-2E9C-101B-9397-08002B2CF9AE}" pid="18" name="LINKK7">
    <vt:lpwstr/>
  </property>
  <property fmtid="{D5CDD505-2E9C-101B-9397-08002B2CF9AE}" pid="19" name="LINKK8">
    <vt:lpwstr/>
  </property>
  <property fmtid="{D5CDD505-2E9C-101B-9397-08002B2CF9AE}" pid="20" name="LINKK9">
    <vt:lpwstr/>
  </property>
  <property fmtid="{D5CDD505-2E9C-101B-9397-08002B2CF9AE}" pid="21" name="NEWPARTA">
    <vt:lpwstr>1267</vt:lpwstr>
  </property>
  <property fmtid="{D5CDD505-2E9C-101B-9397-08002B2CF9AE}" pid="22" name="NEWPARTB">
    <vt:lpwstr/>
  </property>
  <property fmtid="{D5CDD505-2E9C-101B-9397-08002B2CF9AE}" pid="23" name="NEWPARTC">
    <vt:lpwstr>09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>1267</vt:lpwstr>
  </property>
  <property fmtid="{D5CDD505-2E9C-101B-9397-08002B2CF9AE}" pid="30" name="PROCYEAR">
    <vt:lpwstr>09</vt:lpwstr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380020090713</vt:lpwstr>
  </property>
  <property fmtid="{D5CDD505-2E9C-101B-9397-08002B2CF9AE}" pid="34" name="TYPE_N_DATE">
    <vt:lpwstr>38020090713</vt:lpwstr>
  </property>
  <property fmtid="{D5CDD505-2E9C-101B-9397-08002B2CF9AE}" pid="35" name="VOLUME">
    <vt:lpwstr/>
  </property>
  <property fmtid="{D5CDD505-2E9C-101B-9397-08002B2CF9AE}" pid="36" name="WORDNUMPAGES">
    <vt:lpwstr>4</vt:lpwstr>
  </property>
</Properties>
</file>