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8"/>
        <w:gridCol w:w="632"/>
        <w:gridCol w:w="64"/>
        <w:gridCol w:w="2336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60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1596-08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ביטון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96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36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צבי ביטון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ליאת חזן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&lt;&lt;&lt;</w:t>
      </w: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לשכת תביעות מרחב שפלה – פלילי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סבן </w:t>
      </w:r>
      <w:r>
        <w:rPr>
          <w:vanish/>
          <w:highlight w:val="yellow"/>
          <w:u w:val="none"/>
          <w:rtl w:val="true"/>
        </w:rPr>
        <w:t>&gt;&gt;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&lt;&lt;&lt;</w:t>
      </w: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צבי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ביטון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גיל גבאי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סניגוריה ציבורית 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</w:t>
      </w: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2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ליאת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חזן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בעצמה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יוסי ציטיאט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סניגוריה ציבורית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הנאשמת </w:t>
      </w:r>
      <w:r>
        <w:rPr>
          <w:b w:val="false"/>
          <w:bCs w:val="false"/>
          <w:u w:val="none"/>
        </w:rPr>
        <w:t>2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BodyText"/>
        <w:ind w:end="0"/>
        <w:jc w:val="center"/>
        <w:rPr>
          <w:rFonts w:ascii="Arial" w:hAnsi="Arial" w:eastAsia="David" w:cs="David"/>
          <w:b/>
          <w:bCs/>
          <w:sz w:val="28"/>
          <w:szCs w:val="28"/>
          <w:u w:val="none"/>
          <w:lang w:eastAsia="en-US"/>
        </w:rPr>
      </w:pPr>
      <w:r>
        <w:rPr>
          <w:rFonts w:eastAsia="David" w:cs="David" w:ascii="Arial" w:hAnsi="Arial"/>
          <w:b/>
          <w:bCs/>
          <w:sz w:val="28"/>
          <w:szCs w:val="28"/>
          <w:u w:val="none"/>
          <w:rtl w:val="true"/>
          <w:lang w:eastAsia="en-US"/>
        </w:rPr>
      </w:r>
    </w:p>
    <w:p>
      <w:pPr>
        <w:pStyle w:val="BodyText"/>
        <w:ind w:end="0"/>
        <w:jc w:val="center"/>
        <w:rPr>
          <w:rFonts w:ascii="Arial" w:hAnsi="Arial"/>
          <w:b/>
          <w:bCs/>
          <w:sz w:val="28"/>
          <w:szCs w:val="28"/>
          <w:u w:val="single"/>
          <w:lang w:eastAsia="en-US"/>
        </w:rPr>
      </w:pPr>
      <w:r>
        <w:rPr>
          <w:rFonts w:ascii="Arial" w:hAnsi="Arial" w:eastAsia="David" w:cs="David"/>
          <w:b/>
          <w:b/>
          <w:bCs/>
          <w:sz w:val="28"/>
          <w:sz w:val="28"/>
          <w:szCs w:val="28"/>
          <w:u w:val="single"/>
          <w:rtl w:val="true"/>
          <w:lang w:eastAsia="en-US"/>
        </w:rPr>
        <w:t>הכרעת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  <w:lang w:eastAsia="en-US"/>
        </w:rPr>
        <w:t xml:space="preserve"> </w:t>
      </w:r>
      <w:r>
        <w:rPr>
          <w:rFonts w:ascii="Arial" w:hAnsi="Arial" w:eastAsia="David" w:cs="David"/>
          <w:b/>
          <w:b/>
          <w:bCs/>
          <w:sz w:val="28"/>
          <w:sz w:val="28"/>
          <w:szCs w:val="28"/>
          <w:u w:val="single"/>
          <w:rtl w:val="true"/>
          <w:lang w:eastAsia="en-US"/>
        </w:rPr>
        <w:t>דין</w:t>
      </w:r>
    </w:p>
    <w:p>
      <w:pPr>
        <w:pStyle w:val="BodyText"/>
        <w:ind w:end="0"/>
        <w:jc w:val="both"/>
        <w:rPr>
          <w:rFonts w:ascii="David" w:hAnsi="David" w:eastAsia="David" w:cs="David"/>
          <w:b/>
          <w:bCs/>
          <w:sz w:val="24"/>
          <w:szCs w:val="28"/>
          <w:u w:val="single"/>
          <w:lang w:eastAsia="en-US"/>
        </w:rPr>
      </w:pPr>
      <w:r>
        <w:rPr>
          <w:rFonts w:eastAsia="David" w:cs="David" w:ascii="David" w:hAnsi="David"/>
          <w:b/>
          <w:bCs/>
          <w:sz w:val="24"/>
          <w:szCs w:val="28"/>
          <w:u w:val="single"/>
          <w:rtl w:val="true"/>
          <w:lang w:eastAsia="en-US"/>
        </w:rPr>
      </w:r>
    </w:p>
    <w:p>
      <w:pPr>
        <w:pStyle w:val="BodyText"/>
        <w:ind w:end="0"/>
        <w:jc w:val="both"/>
        <w:rPr>
          <w:rFonts w:ascii="David" w:hAnsi="David" w:cs="David"/>
          <w:b/>
          <w:bCs/>
          <w:sz w:val="24"/>
        </w:rPr>
      </w:pPr>
      <w:r>
        <w:rPr>
          <w:rFonts w:cs="David" w:ascii="David" w:hAnsi="David"/>
          <w:b/>
          <w:bCs/>
          <w:sz w:val="24"/>
          <w:rtl w:val="true"/>
        </w:rPr>
      </w:r>
    </w:p>
    <w:p>
      <w:pPr>
        <w:pStyle w:val="BodyText"/>
        <w:ind w:end="0"/>
        <w:jc w:val="start"/>
        <w:rPr>
          <w:rFonts w:cs="David"/>
          <w:b/>
          <w:bCs/>
          <w:sz w:val="24"/>
        </w:rPr>
      </w:pP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סמך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הודאת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הנאשמים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בעובדות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המיוחסות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בכתב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האישום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המתוקן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אני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מרשיעה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הנאשם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</w:rPr>
        <w:t>1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בעבירה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לפי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סעיף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</w:rPr>
        <w:t>192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ולפי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סעיף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</w:rPr>
        <w:t>275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בעבירה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לפי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סעיף</w:t>
      </w:r>
      <w:r>
        <w:rPr>
          <w:b/>
          <w:b/>
          <w:bCs/>
          <w:sz w:val="24"/>
          <w:sz w:val="24"/>
          <w:rtl w:val="true"/>
        </w:rPr>
        <w:t xml:space="preserve">  </w:t>
      </w:r>
      <w:r>
        <w:rPr>
          <w:rFonts w:cs="David"/>
          <w:b/>
          <w:b/>
          <w:bCs/>
          <w:sz w:val="24"/>
          <w:sz w:val="24"/>
          <w:rtl w:val="true"/>
        </w:rPr>
        <w:t>ל</w:t>
      </w:r>
      <w:hyperlink r:id="rId2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b/>
            <w:b/>
            <w:b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u w:val="single"/>
            <w:rtl w:val="true"/>
          </w:rPr>
          <w:t>העונשין</w:t>
        </w:r>
      </w:hyperlink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התשל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ז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</w:rPr>
        <w:t>1977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הנאשמת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</w:rPr>
        <w:t>2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בעבירה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לפי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סעיף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</w:rPr>
        <w:t>288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לחוק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העונשין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התשל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ז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</w:rPr>
        <w:t>1977</w:t>
      </w:r>
      <w:r>
        <w:rPr>
          <w:rFonts w:cs="David"/>
          <w:b/>
          <w:bCs/>
          <w:sz w:val="24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rFonts w:cs="David"/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26/05/2009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נירה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דסקין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start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הנאשמים הורשעו על פי הודאתם בעבירות המיוחסות לכל אחד מהם בכתב אישום אשר תוקן במסגרת הסדר 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1440" w:start="144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 ההסדר עותרים הצדדים במשותף ובהסכמה לענישה כפי שפורטה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1440" w:start="144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אומר תחילה כי יש לראות בחומרה עבירות כנגד עובדי ציבור ושוטרים בכלל זה</w:t>
      </w:r>
      <w:r>
        <w:rPr>
          <w:rtl w:val="true"/>
        </w:rPr>
        <w:t xml:space="preserve">, </w:t>
      </w:r>
      <w:r>
        <w:rPr>
          <w:rtl w:val="true"/>
        </w:rPr>
        <w:t>וזאת על מנת לאפשר למי שעוסקים בצרכי ציבור באמונה</w:t>
      </w:r>
      <w:r>
        <w:rPr>
          <w:rtl w:val="true"/>
        </w:rPr>
        <w:t xml:space="preserve">, </w:t>
      </w:r>
      <w:r>
        <w:rPr>
          <w:rtl w:val="true"/>
        </w:rPr>
        <w:t>לעשות מלאכתם באין מפריע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1440" w:start="144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יחד עם זאת אנו אמונים על עקרון הענישה האינדיבידואלית ובמסגרת זו מוצאת אני כי בנסיבות הענין כפי שפורטו בפני</w:t>
      </w:r>
      <w:r>
        <w:rPr>
          <w:rtl w:val="true"/>
        </w:rPr>
        <w:t xml:space="preserve">, </w:t>
      </w:r>
      <w:r>
        <w:rPr>
          <w:rtl w:val="true"/>
        </w:rPr>
        <w:t>בבוא התביעה לכלל הסדר טיעון כפי שהוצג שקלה ואיזנה בין מכלול האינטרסים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1440" w:start="1440" w:end="0"/>
        <w:jc w:val="start"/>
        <w:rPr/>
      </w:pP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 יסוד ההודיה</w:t>
      </w:r>
      <w:r>
        <w:rPr>
          <w:rtl w:val="true"/>
        </w:rPr>
        <w:t xml:space="preserve">, </w:t>
      </w:r>
      <w:r>
        <w:rPr>
          <w:rtl w:val="true"/>
        </w:rPr>
        <w:t>טיעוני ב</w:t>
      </w:r>
      <w:r>
        <w:rPr>
          <w:rtl w:val="true"/>
        </w:rPr>
        <w:t>"</w:t>
      </w:r>
      <w:r>
        <w:rPr>
          <w:rtl w:val="true"/>
        </w:rPr>
        <w:t>כ הצדדים</w:t>
      </w:r>
      <w:r>
        <w:rPr>
          <w:rtl w:val="true"/>
        </w:rPr>
        <w:t xml:space="preserve">, </w:t>
      </w:r>
      <w:r>
        <w:rPr>
          <w:rtl w:val="true"/>
        </w:rPr>
        <w:t xml:space="preserve">והסדר הטיעון אני גוזרת על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216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 אשר ירוצו בחופף לעונש המאסר אותו הוא מרצה 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שלא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כל עבירת אלימות מסוג 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שלא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מהיום כל עבירת אלימות לרבות איומים מסוג עוון וכן עבירות לפי סעיף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הנאשמת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216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שלא תעבור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כל עבירת אלימות מסוג 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שלא תעבור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מהיום כל עבירת אלימות לרבות איומים מסוג עוון וכן עבירה לפי סעיף </w:t>
      </w:r>
      <w:r>
        <w:rPr/>
        <w:t>288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start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26/05/2009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נירה דסקין </w:t>
      </w:r>
      <w:r>
        <w:rPr>
          <w:color w:val="000000"/>
          <w:sz w:val="22"/>
          <w:szCs w:val="22"/>
        </w:rPr>
        <w:t>54678313-1596/08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נירה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דסקין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hanging="720" w:start="2160"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סיגל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טרי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/Users/liorb/Downloads/study2025-p2/SH-08-1596-300.doc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1596/08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1596-08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שפלה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 </w:t>
    </w:r>
    <w:r>
      <w:rPr>
        <w:color w:val="000000"/>
        <w:sz w:val="22"/>
        <w:sz w:val="22"/>
        <w:szCs w:val="22"/>
        <w:rtl w:val="true"/>
      </w:rPr>
      <w:t xml:space="preserve">צבי ביטון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596-08"/>
    <w:docVar w:name="caseId" w:val="12313739"/>
    <w:docVar w:name="deriveClass" w:val="NGCS.Protocol.BL.Client.ProtocolBLClientCriminal"/>
    <w:docVar w:name="firstPageNumber" w:val="2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44369"/>
    <w:docVar w:name="releaseSign" w:val="0"/>
    <w:docVar w:name="sittingDateTime" w:val="26/05/2009 13:00     "/>
    <w:docVar w:name="sittingId" w:val="15565574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ind w:hanging="0" w:start="0" w:end="720"/>
    </w:pPr>
    <w:rPr>
      <w:rFonts w:ascii="Times New Roman" w:hAnsi="Times New Roman" w:eastAsia="Times New Roman" w:cs="Times New Roman"/>
      <w:sz w:val="22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2009-05-27T03:21:00Z</dcterms:created>
  <dc:creator> </dc:creator>
  <dc:description/>
  <cp:keywords/>
  <dc:language>en-IL</dc:language>
  <cp:lastModifiedBy>hofit</cp:lastModifiedBy>
  <cp:lastPrinted>2009-05-26T14:33:00Z</cp:lastPrinted>
  <dcterms:modified xsi:type="dcterms:W3CDTF">2009-05-27T10:30:00Z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שפלה - פלילי</vt:lpwstr>
  </property>
  <property fmtid="{D5CDD505-2E9C-101B-9397-08002B2CF9AE}" pid="3" name="APPELLEE">
    <vt:lpwstr> צבי ביטון ;ליאת חזן</vt:lpwstr>
  </property>
  <property fmtid="{D5CDD505-2E9C-101B-9397-08002B2CF9AE}" pid="4" name="CITY">
    <vt:lpwstr>רמ'</vt:lpwstr>
  </property>
  <property fmtid="{D5CDD505-2E9C-101B-9397-08002B2CF9AE}" pid="5" name="DATE">
    <vt:lpwstr>20090526</vt:lpwstr>
  </property>
  <property fmtid="{D5CDD505-2E9C-101B-9397-08002B2CF9AE}" pid="6" name="DELEMATA">
    <vt:lpwstr/>
  </property>
  <property fmtid="{D5CDD505-2E9C-101B-9397-08002B2CF9AE}" pid="7" name="JUDGE">
    <vt:lpwstr>נירה דסקין</vt:lpwstr>
  </property>
  <property fmtid="{D5CDD505-2E9C-101B-9397-08002B2CF9AE}" pid="8" name="LAWYER">
    <vt:lpwstr>גיל גבאי ;יוסי ציטיאט 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1596</vt:lpwstr>
  </property>
  <property fmtid="{D5CDD505-2E9C-101B-9397-08002B2CF9AE}" pid="22" name="NEWPARTB">
    <vt:lpwstr/>
  </property>
  <property fmtid="{D5CDD505-2E9C-101B-9397-08002B2CF9AE}" pid="23" name="NEWPARTC">
    <vt:lpwstr>08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1596</vt:lpwstr>
  </property>
  <property fmtid="{D5CDD505-2E9C-101B-9397-08002B2CF9AE}" pid="30" name="PROCYEAR">
    <vt:lpwstr>08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380020090526</vt:lpwstr>
  </property>
  <property fmtid="{D5CDD505-2E9C-101B-9397-08002B2CF9AE}" pid="34" name="TYPE_N_DATE">
    <vt:lpwstr>38020090526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