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564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81"/>
        <w:gridCol w:w="680"/>
        <w:gridCol w:w="2279"/>
      </w:tblGrid>
      <w:tr>
        <w:trPr>
          <w:trHeight w:val="418" w:hRule="exact"/>
        </w:trPr>
        <w:tc>
          <w:tcPr>
            <w:tcW w:w="564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268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1943-08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המרכז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 באבא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68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2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07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  <w:bookmarkStart w:id="1" w:name="FirstAppellant"/>
      <w:bookmarkStart w:id="2" w:name="FirstAppellant"/>
      <w:bookmarkEnd w:id="2"/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end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&lt;&lt;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המרכז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&lt;&lt;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מגדי אל באבא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vanish/>
          <w:highlight w:val="yellow"/>
          <w:u w:val="none"/>
          <w:rtl w:val="true"/>
        </w:rPr>
        <w:t>&lt;&lt;&lt;</w:t>
      </w:r>
      <w:r>
        <w:rPr>
          <w:b w:val="false"/>
          <w:b w:val="false"/>
          <w:bCs w:val="false"/>
          <w:u w:val="none"/>
          <w:rtl w:val="true"/>
        </w:rPr>
        <w:t xml:space="preserve">מאשימה </w:t>
      </w:r>
      <w:r>
        <w:rPr>
          <w:b w:val="false"/>
          <w:bCs w:val="false"/>
          <w:u w:val="none"/>
        </w:rPr>
        <w:t>1</w:t>
      </w:r>
      <w:r>
        <w:rPr>
          <w:vanish/>
          <w:highlight w:val="yellow"/>
          <w:u w:val="none"/>
          <w:rtl w:val="true"/>
        </w:rPr>
        <w:t>&gt;</w:t>
      </w:r>
      <w:r>
        <w:rPr>
          <w:b w:val="false"/>
          <w:bCs w:val="false"/>
          <w:u w:val="none"/>
          <w:rtl w:val="true"/>
        </w:rPr>
        <w:t xml:space="preserve">  </w:t>
      </w:r>
      <w:r>
        <w:rPr>
          <w:vanish/>
          <w:highlight w:val="yellow"/>
          <w:u w:val="none"/>
          <w:rtl w:val="true"/>
        </w:rPr>
        <w:t>&lt;&gt;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vanish/>
          <w:highlight w:val="yellow"/>
          <w:u w:val="none"/>
          <w:rtl w:val="true"/>
        </w:rPr>
        <w:t>&lt;&gt;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vanish/>
          <w:highlight w:val="yellow"/>
          <w:u w:val="none"/>
          <w:rtl w:val="true"/>
        </w:rPr>
        <w:t>&lt;</w:t>
      </w:r>
      <w:r>
        <w:rPr>
          <w:b w:val="false"/>
          <w:b w:val="false"/>
          <w:bCs w:val="false"/>
          <w:u w:val="none"/>
          <w:rtl w:val="true"/>
        </w:rPr>
        <w:t>מ</w:t>
      </w:r>
      <w:r>
        <w:rPr>
          <w:b w:val="false"/>
          <w:bCs w:val="false"/>
          <w:u w:val="none"/>
          <w:rtl w:val="true"/>
        </w:rPr>
        <w:t>.</w:t>
      </w:r>
      <w:r>
        <w:rPr>
          <w:b w:val="false"/>
          <w:b w:val="false"/>
          <w:bCs w:val="false"/>
          <w:u w:val="none"/>
          <w:rtl w:val="true"/>
        </w:rPr>
        <w:t>י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>פרקליטות מחוז המרכז</w:t>
      </w:r>
      <w:r>
        <w:rPr>
          <w:vanish/>
          <w:highlight w:val="yellow"/>
          <w:u w:val="none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אופירה פחימה</w:t>
      </w:r>
      <w:r>
        <w:rPr>
          <w:vanish/>
          <w:highlight w:val="yellow"/>
          <w:u w:val="none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vanish/>
          <w:highlight w:val="yellow"/>
          <w:u w:val="none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vanish/>
          <w:highlight w:val="yellow"/>
          <w:u w:val="none"/>
          <w:rtl w:val="true"/>
        </w:rPr>
        <w:t>&lt;&lt;&lt;</w:t>
      </w: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1</w:t>
      </w:r>
      <w:r>
        <w:rPr>
          <w:vanish/>
          <w:highlight w:val="yellow"/>
          <w:u w:val="none"/>
          <w:rtl w:val="true"/>
        </w:rPr>
        <w:t>&gt;</w:t>
      </w:r>
      <w:r>
        <w:rPr>
          <w:b w:val="false"/>
          <w:bCs w:val="false"/>
          <w:u w:val="none"/>
          <w:rtl w:val="true"/>
        </w:rPr>
        <w:t xml:space="preserve">  </w:t>
      </w:r>
      <w:r>
        <w:rPr>
          <w:vanish/>
          <w:highlight w:val="yellow"/>
          <w:u w:val="none"/>
          <w:rtl w:val="true"/>
        </w:rPr>
        <w:t>&lt;&gt;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vanish/>
          <w:highlight w:val="yellow"/>
          <w:u w:val="none"/>
          <w:rtl w:val="true"/>
        </w:rPr>
        <w:t>&lt;</w:t>
      </w:r>
      <w:r>
        <w:rPr>
          <w:b w:val="false"/>
          <w:b w:val="false"/>
          <w:bCs w:val="false"/>
          <w:u w:val="none"/>
          <w:rtl w:val="true"/>
        </w:rPr>
        <w:t>מגדי</w:t>
      </w:r>
      <w:r>
        <w:rPr>
          <w:vanish/>
          <w:highlight w:val="yellow"/>
          <w:u w:val="none"/>
          <w:rtl w:val="true"/>
        </w:rPr>
        <w:t>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vanish/>
          <w:highlight w:val="yellow"/>
          <w:u w:val="none"/>
          <w:rtl w:val="true"/>
        </w:rPr>
        <w:t>&lt;</w:t>
      </w:r>
      <w:r>
        <w:rPr>
          <w:b w:val="false"/>
          <w:b w:val="false"/>
          <w:bCs w:val="false"/>
          <w:u w:val="none"/>
          <w:rtl w:val="true"/>
        </w:rPr>
        <w:t>אל באבא</w:t>
      </w:r>
      <w:r>
        <w:rPr>
          <w:vanish/>
          <w:highlight w:val="yellow"/>
          <w:u w:val="none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 אבנון צבי</w:t>
      </w:r>
      <w:r>
        <w:rPr>
          <w:vanish/>
          <w:highlight w:val="yellow"/>
          <w:u w:val="none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vanish/>
          <w:highlight w:val="yellow"/>
          <w:u w:val="none"/>
          <w:rtl w:val="true"/>
        </w:rPr>
        <w:t>&gt;</w:t>
      </w:r>
      <w:bookmarkStart w:id="4" w:name="LawTable"/>
      <w:bookmarkEnd w:id="4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</w:rPr>
      </w:pPr>
      <w:hyperlink r:id="rId2"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חוק העונשין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 xml:space="preserve">, 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תשל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ז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-</w:t>
        </w:r>
        <w:r>
          <w:rPr>
            <w:rStyle w:val="Hyperlink"/>
            <w:rFonts w:eastAsia="David" w:cs="FrankRuehl" w:ascii="FrankRuehl" w:hAnsi="FrankRuehl"/>
            <w:b/>
            <w:bCs/>
          </w:rPr>
          <w:t>1977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'  </w:t>
      </w:r>
      <w:hyperlink r:id="rId3">
        <w:r>
          <w:rPr>
            <w:rStyle w:val="Hyperlink"/>
            <w:rFonts w:eastAsia="David" w:cs="FrankRuehl" w:ascii="FrankRuehl" w:hAnsi="FrankRuehl"/>
            <w:b/>
            <w:bCs/>
          </w:rPr>
          <w:t>144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א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4">
        <w:r>
          <w:rPr>
            <w:rStyle w:val="Hyperlink"/>
            <w:rFonts w:eastAsia="David" w:cs="FrankRuehl" w:ascii="FrankRuehl" w:hAnsi="FrankRuehl"/>
            <w:b/>
            <w:bCs/>
          </w:rPr>
          <w:t>144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ב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5" w:name="LawTable_End"/>
      <w:bookmarkStart w:id="6" w:name="LawTable_End"/>
      <w:bookmarkEnd w:id="6"/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none"/>
        </w:rPr>
      </w:pPr>
      <w:r>
        <w:rPr>
          <w:rFonts w:eastAsia="David"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</w:rPr>
      </w:pPr>
      <w:r>
        <w:rPr>
          <w:rFonts w:eastAsia="David" w:cs="Arial" w:ascii="Arial" w:hAnsi="Arial"/>
          <w:b/>
          <w:bCs/>
          <w:sz w:val="28"/>
          <w:szCs w:val="28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</w:rPr>
      </w:pPr>
      <w:r>
        <w:rPr>
          <w:rFonts w:eastAsia="David" w:cs="Arial" w:ascii="Arial" w:hAnsi="Arial"/>
          <w:b/>
          <w:bCs/>
          <w:sz w:val="28"/>
          <w:szCs w:val="28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eastAsia="David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David"/>
        <w:ind w:end="0"/>
        <w:jc w:val="both"/>
        <w:rPr>
          <w:rFonts w:ascii="David" w:hAnsi="David" w:eastAsia="David" w:cs="David"/>
          <w:b/>
          <w:bCs/>
          <w:sz w:val="28"/>
          <w:szCs w:val="28"/>
          <w:u w:val="single"/>
        </w:rPr>
      </w:pPr>
      <w:r>
        <w:rPr>
          <w:rFonts w:eastAsia="David" w:cs="David" w:ascii="David" w:hAnsi="David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הנאשם הורשע על פי הודאתו בעבירה של החזקת נשק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5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וסיפא ל</w:t>
      </w:r>
      <w:hyperlink r:id="rId6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 xml:space="preserve">הנאשם הודה  בעובדות המיוחסות  לו  בכתב האישום בכך שביום  </w:t>
      </w:r>
      <w:r>
        <w:rPr/>
        <w:t>9.6.02</w:t>
      </w:r>
      <w:r>
        <w:rPr>
          <w:rtl w:val="true"/>
        </w:rPr>
        <w:t xml:space="preserve">, </w:t>
      </w:r>
      <w:r>
        <w:rPr>
          <w:rtl w:val="true"/>
        </w:rPr>
        <w:t>בשעות הבוקר</w:t>
      </w:r>
      <w:r>
        <w:rPr>
          <w:rtl w:val="true"/>
        </w:rPr>
        <w:t xml:space="preserve">, </w:t>
      </w:r>
      <w:r>
        <w:rPr>
          <w:rtl w:val="true"/>
        </w:rPr>
        <w:t xml:space="preserve">נגנב מביתו של מר שגב אקדח  </w:t>
      </w:r>
      <w:r>
        <w:rPr/>
        <w:t>CZ</w:t>
      </w:r>
      <w:r>
        <w:rPr/>
        <w:t xml:space="preserve"> 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מס</w:t>
      </w:r>
      <w:r>
        <w:rPr>
          <w:rtl w:val="true"/>
        </w:rPr>
        <w:t xml:space="preserve">'  </w:t>
      </w:r>
      <w:r>
        <w:rPr/>
        <w:t>155481</w:t>
      </w:r>
      <w:r>
        <w:rPr>
          <w:rtl w:val="true"/>
        </w:rPr>
        <w:t xml:space="preserve">, </w:t>
      </w:r>
      <w:r>
        <w:rPr>
          <w:rtl w:val="true"/>
        </w:rPr>
        <w:t xml:space="preserve">ובשנת </w:t>
      </w:r>
      <w:r>
        <w:rPr/>
        <w:t>1978</w:t>
      </w:r>
      <w:r>
        <w:rPr>
          <w:rtl w:val="true"/>
        </w:rPr>
        <w:t xml:space="preserve"> </w:t>
      </w:r>
      <w:r>
        <w:rPr>
          <w:rtl w:val="true"/>
        </w:rPr>
        <w:t>במועד שאינו ידוע למאשימה</w:t>
      </w:r>
      <w:r>
        <w:rPr>
          <w:rtl w:val="true"/>
        </w:rPr>
        <w:t xml:space="preserve">, </w:t>
      </w:r>
      <w:r>
        <w:rPr>
          <w:rtl w:val="true"/>
        </w:rPr>
        <w:t xml:space="preserve">נגנב מרכבו של מר יעקב אברהם אקדח </w:t>
      </w:r>
      <w:r>
        <w:rPr/>
        <w:t>CZ</w:t>
      </w:r>
      <w:r>
        <w:rPr/>
        <w:t xml:space="preserve"> 7.65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מ מספר </w:t>
      </w:r>
      <w:r>
        <w:rPr/>
        <w:t>104563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 xml:space="preserve">הנאשם הודה בכך כי בתאריך  </w:t>
      </w:r>
      <w:r>
        <w:rPr/>
        <w:t>3.6.08</w:t>
      </w:r>
      <w:r>
        <w:rPr>
          <w:rtl w:val="true"/>
        </w:rPr>
        <w:t xml:space="preserve"> </w:t>
      </w:r>
      <w:r>
        <w:rPr>
          <w:rtl w:val="true"/>
        </w:rPr>
        <w:t xml:space="preserve">בשעה  </w:t>
      </w:r>
      <w:r>
        <w:rPr/>
        <w:t>13:30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 </w:t>
      </w:r>
      <w:r>
        <w:rPr>
          <w:rtl w:val="true"/>
        </w:rPr>
        <w:t xml:space="preserve">הוא החזיק בארון בגדים בביתו אקדח  עם מחסנית תואמת לאקדח </w:t>
      </w:r>
      <w:r>
        <w:rPr>
          <w:rtl w:val="true"/>
        </w:rPr>
        <w:t xml:space="preserve">  </w:t>
      </w:r>
      <w:r>
        <w:rPr/>
        <w:t>CZ</w:t>
      </w:r>
      <w:r>
        <w:rPr/>
        <w:t xml:space="preserve"> 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 </w:t>
      </w:r>
      <w:r>
        <w:rPr>
          <w:rtl w:val="true"/>
        </w:rPr>
        <w:t xml:space="preserve">ואקדח </w:t>
      </w:r>
      <w:r>
        <w:rPr/>
        <w:t>CZ</w:t>
      </w:r>
      <w:r>
        <w:rPr/>
        <w:t xml:space="preserve">  7.65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ומחסנית תואמת</w:t>
      </w:r>
      <w:r>
        <w:rPr>
          <w:rtl w:val="true"/>
        </w:rPr>
        <w:t xml:space="preserve">, </w:t>
      </w:r>
      <w:r>
        <w:rPr>
          <w:rtl w:val="true"/>
        </w:rPr>
        <w:t xml:space="preserve">ואקדח סטאר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וכן החזיק תחמושת רבה מסוגים שונים</w:t>
      </w:r>
      <w:r>
        <w:rPr>
          <w:rtl w:val="true"/>
        </w:rPr>
        <w:t xml:space="preserve">, </w:t>
      </w:r>
      <w:r>
        <w:rPr>
          <w:rtl w:val="true"/>
        </w:rPr>
        <w:t>וקוטרים שונים</w:t>
      </w:r>
      <w:r>
        <w:rPr>
          <w:rtl w:val="true"/>
        </w:rPr>
        <w:t xml:space="preserve">, </w:t>
      </w:r>
      <w:r>
        <w:rPr>
          <w:rtl w:val="true"/>
        </w:rPr>
        <w:t>בין היתר כדורי 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 xml:space="preserve">כדורי אקדח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מ וכדורים 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בטרם טענו הצדדים לעונש</w:t>
      </w:r>
      <w:r>
        <w:rPr>
          <w:rtl w:val="true"/>
        </w:rPr>
        <w:t xml:space="preserve">, </w:t>
      </w:r>
      <w:r>
        <w:rPr>
          <w:rtl w:val="true"/>
        </w:rPr>
        <w:t>ועל פי הסדר שנרקם בין הצדדים</w:t>
      </w:r>
      <w:r>
        <w:rPr>
          <w:rtl w:val="true"/>
        </w:rPr>
        <w:t xml:space="preserve">, </w:t>
      </w:r>
      <w:r>
        <w:rPr>
          <w:rtl w:val="true"/>
        </w:rPr>
        <w:t>נתבקש שרות המבחן להגיש תסקיר בעניינו של הנאשם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 xml:space="preserve">שרות המבחן בתסקירו ציין כי עסקינן בבחור בן </w:t>
      </w:r>
      <w:r>
        <w:rPr/>
        <w:t>24</w:t>
      </w:r>
      <w:r>
        <w:rPr>
          <w:rtl w:val="true"/>
        </w:rPr>
        <w:t xml:space="preserve">, </w:t>
      </w:r>
      <w:r>
        <w:rPr>
          <w:rtl w:val="true"/>
        </w:rPr>
        <w:t>נשוי כשנה</w:t>
      </w:r>
      <w:r>
        <w:rPr>
          <w:rtl w:val="true"/>
        </w:rPr>
        <w:t xml:space="preserve">, </w:t>
      </w:r>
      <w:r>
        <w:rPr>
          <w:rtl w:val="true"/>
        </w:rPr>
        <w:t>אשתו בתחילת ההריון והנה סטודנטית בפקולטה לחקלאות ברחובות</w:t>
      </w:r>
      <w:r>
        <w:rPr>
          <w:rtl w:val="true"/>
        </w:rPr>
        <w:t xml:space="preserve">.  </w:t>
      </w:r>
      <w:r>
        <w:rPr>
          <w:rtl w:val="true"/>
        </w:rPr>
        <w:t>הנאשם בעל השכלה תיכונית במגמת תקשורת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>שרות המבחן ציין כי הנאשם עבד עובר למעצרו בקו חלוקה של מוצרי שטראוס וכיום עובד עם אביו במכולת</w:t>
      </w:r>
      <w:r>
        <w:rPr>
          <w:rtl w:val="true"/>
        </w:rPr>
        <w:t xml:space="preserve">, </w:t>
      </w:r>
      <w:r>
        <w:rPr>
          <w:rtl w:val="true"/>
        </w:rPr>
        <w:t>לאחר שפוטר מעבודתו בשטראוס  בעקבות הסתבכותו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>שרות המבחן ציין כי הנאשם תופס את עצמו כאדם המנהל אורח חיים נורמטיבי</w:t>
      </w:r>
      <w:r>
        <w:rPr>
          <w:rtl w:val="true"/>
        </w:rPr>
        <w:t xml:space="preserve">, </w:t>
      </w:r>
      <w:r>
        <w:rPr>
          <w:rtl w:val="true"/>
        </w:rPr>
        <w:t>וחשוב לו לשמור על תפקוד אישי ומשפחתי חיובי</w:t>
      </w:r>
      <w:r>
        <w:rPr>
          <w:rtl w:val="true"/>
        </w:rPr>
        <w:t xml:space="preserve">, </w:t>
      </w:r>
      <w:r>
        <w:rPr>
          <w:rtl w:val="true"/>
        </w:rPr>
        <w:t>כמו גם הוא מבוהל ומובך לנוכח התנהגותו הנדונה אותה תפס כחריגה ללא הפעלת שיקול דעת תקין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>הנאשם ביטא לפני שרות המבחן צער</w:t>
      </w:r>
      <w:r>
        <w:rPr>
          <w:rtl w:val="true"/>
        </w:rPr>
        <w:t xml:space="preserve">. </w:t>
      </w:r>
      <w:r>
        <w:rPr>
          <w:rtl w:val="true"/>
        </w:rPr>
        <w:t>שרות המבחן התרשם כי הנאשם מסוגל להבין את הפסול שבהתנהגותו ולהפיק לקחים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>הנאשם טען כי על רקע מגוריו באזור בעייתי בו קיימת פעילות עבריינית הוא התנהג באופן אימפולסיבי ללא כוונה פלילית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>שרות המבחן התרשם מקיומם של פערים בין האופן בו תופס הנאשם את צדדיו האישיים ותפקודו לבין חלקו בארוע ויכולתו לתת הסברים ברורים להתנהגותו ומשמעותה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שרות המבחן התרשם כי הארוע אשר בעקבותיו הנאשם פוטר מעבודתו ולאור תגובת משפחתו וההליכים המשפטיים שננקטו נגדו</w:t>
      </w:r>
      <w:r>
        <w:rPr>
          <w:rtl w:val="true"/>
        </w:rPr>
        <w:t xml:space="preserve">, </w:t>
      </w:r>
      <w:r>
        <w:rPr>
          <w:rtl w:val="true"/>
        </w:rPr>
        <w:t>כל האמור מהווה גורם מרתיע ומציב גבולות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>שרות המבחן התרשם מאביו של הנאשם כאדם נורמטיבי אשר חינך ועודד את ילדיו להישגים אישיים ותפקוד מקובל בעבודה ובמשפחה וגילה מורת רוח מהתנהגות בנו ולא גונן ולא טשטש</w:t>
      </w:r>
      <w:r>
        <w:rPr>
          <w:rtl w:val="true"/>
        </w:rPr>
        <w:t xml:space="preserve">. </w:t>
      </w:r>
      <w:r>
        <w:rPr>
          <w:rtl w:val="true"/>
        </w:rPr>
        <w:t>כמו כן שרות המבחן התרשם מהנאשם כאדם מופנם בעל אינטליגנציה תקינה ללא עבר פלילי</w:t>
      </w:r>
      <w:r>
        <w:rPr>
          <w:rtl w:val="true"/>
        </w:rPr>
        <w:t xml:space="preserve">. </w:t>
      </w:r>
      <w:r>
        <w:rPr>
          <w:rtl w:val="true"/>
        </w:rPr>
        <w:t>עם זאת  התרשם  שרות המבחן שהנאשם מתקשה להתייחס באופן ברור ועמוק לחלקיו האישיים שיכולים להיות ברקע להתנהגותו הנדונה וחומרתה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>שרות המבחן ציין כי תגובת הסביבה מסייעת בהצבת גבולות והפחתת סיכון במידה משמעותית להישנות התנהגות דומה בעתיד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>לאור האמור ולצד גילו הצעיר</w:t>
      </w:r>
      <w:r>
        <w:rPr>
          <w:rtl w:val="true"/>
        </w:rPr>
        <w:t xml:space="preserve">,  </w:t>
      </w:r>
      <w:r>
        <w:rPr>
          <w:rtl w:val="true"/>
        </w:rPr>
        <w:t>המליץ שרות המבחן על עונש חינוכי התנדבותי לתועלת הציבור לצד מאסר על תנאי משמעותי וקנס כספי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 xml:space="preserve">שרות המבחן אף המליץ שהנאשם יבצע עבודות שרות בעמותת </w:t>
      </w:r>
      <w:r>
        <w:rPr>
          <w:rtl w:val="true"/>
        </w:rPr>
        <w:t>"</w:t>
      </w:r>
      <w:r>
        <w:rPr>
          <w:rtl w:val="true"/>
        </w:rPr>
        <w:t>אלון</w:t>
      </w:r>
      <w:r>
        <w:rPr>
          <w:rtl w:val="true"/>
        </w:rPr>
        <w:t>".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במהלך הדיון  בא כח המאשימה בטעוניה לעונש התייחסה לכך שהנאשם החזיק בביתו מספר כלי נשק ותחמושת רבה</w:t>
      </w:r>
      <w:r>
        <w:rPr>
          <w:rtl w:val="true"/>
        </w:rPr>
        <w:t xml:space="preserve">, </w:t>
      </w:r>
      <w:r>
        <w:rPr>
          <w:rtl w:val="true"/>
        </w:rPr>
        <w:t>וטענה כי סכנה טמונה בהחזקת כלי נשק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>עוד הפנתה לכך שבהלכה הפסוקה נקבע שבאיזון בין נסיבותיו האישיות של הנאשם לבין האינטרס הציבורי</w:t>
      </w:r>
      <w:r>
        <w:rPr>
          <w:rtl w:val="true"/>
        </w:rPr>
        <w:t xml:space="preserve">, </w:t>
      </w:r>
      <w:r>
        <w:rPr>
          <w:rtl w:val="true"/>
        </w:rPr>
        <w:t>האינטרס הציבורי גובר</w:t>
      </w:r>
      <w:r>
        <w:rPr>
          <w:rtl w:val="true"/>
        </w:rPr>
        <w:t xml:space="preserve">, </w:t>
      </w:r>
      <w:r>
        <w:rPr>
          <w:rtl w:val="true"/>
        </w:rPr>
        <w:t>ויש צורך ליתן משקל בגזירת העונש להרתעת עבריינים בכח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>בא כח המאשימה טענה כי בהלכה הפסוקה נקבע שבמציאות השוררת היום בארץ</w:t>
      </w:r>
      <w:r>
        <w:rPr>
          <w:rtl w:val="true"/>
        </w:rPr>
        <w:t xml:space="preserve">, </w:t>
      </w:r>
      <w:r>
        <w:rPr>
          <w:rtl w:val="true"/>
        </w:rPr>
        <w:t>זמינותו של נשק חם ורב</w:t>
      </w:r>
      <w:r>
        <w:rPr>
          <w:rtl w:val="true"/>
        </w:rPr>
        <w:t xml:space="preserve">, </w:t>
      </w:r>
      <w:r>
        <w:rPr>
          <w:rtl w:val="true"/>
        </w:rPr>
        <w:t>יש בו פוטנציאל להסלמה באלימות עבריינית</w:t>
      </w:r>
      <w:r>
        <w:rPr>
          <w:rtl w:val="true"/>
        </w:rPr>
        <w:t xml:space="preserve">, </w:t>
      </w:r>
      <w:r>
        <w:rPr>
          <w:rtl w:val="true"/>
        </w:rPr>
        <w:t>המחייב מתן ביטוי עונשי והחמרה בענישה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>באשר לתסקיר שרות המבחן</w:t>
      </w:r>
      <w:r>
        <w:rPr>
          <w:rtl w:val="true"/>
        </w:rPr>
        <w:t xml:space="preserve">, </w:t>
      </w:r>
      <w:r>
        <w:rPr>
          <w:rtl w:val="true"/>
        </w:rPr>
        <w:t>ציינה בא כח המאשימה</w:t>
      </w:r>
      <w:r>
        <w:rPr>
          <w:rtl w:val="true"/>
        </w:rPr>
        <w:t xml:space="preserve">, </w:t>
      </w:r>
      <w:r>
        <w:rPr>
          <w:rtl w:val="true"/>
        </w:rPr>
        <w:t>שהגם שהנאשם נעדר עבר פלילי</w:t>
      </w:r>
      <w:r>
        <w:rPr>
          <w:rtl w:val="true"/>
        </w:rPr>
        <w:t xml:space="preserve">, </w:t>
      </w:r>
      <w:r>
        <w:rPr>
          <w:rtl w:val="true"/>
        </w:rPr>
        <w:t>יש ליתן משקל בענישה לכמות הרבה של  כלי הנשק והתחמושת שנתפסו בחזקת הנאשם</w:t>
      </w:r>
      <w:r>
        <w:rPr>
          <w:rtl w:val="true"/>
        </w:rPr>
        <w:t xml:space="preserve">. </w:t>
      </w:r>
      <w:r>
        <w:rPr>
          <w:rtl w:val="true"/>
        </w:rPr>
        <w:t>כמו כן התייחסה לכך ששרות המבחן התרשם שהנאשם התקשה להתייחס באופן ברור ועמוק לחלקים באישיותו שיכולים להוות את הרקע להתנהגותו וחומרתה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>עתרה להטיל על הנאשם עונש מאסר לתקופה ממושכת</w:t>
      </w:r>
      <w:r>
        <w:rPr>
          <w:rtl w:val="true"/>
        </w:rPr>
        <w:t xml:space="preserve">, </w:t>
      </w:r>
      <w:r>
        <w:rPr>
          <w:rtl w:val="true"/>
        </w:rPr>
        <w:t>עונש הצופה פני עתיד וקנס כספי</w:t>
      </w:r>
      <w:r>
        <w:rPr>
          <w:rtl w:val="true"/>
        </w:rPr>
        <w:t xml:space="preserve">, </w:t>
      </w:r>
      <w:r>
        <w:rPr>
          <w:rtl w:val="true"/>
        </w:rPr>
        <w:t>והציגה אסופה של פסקי דין מהם ביקשה ללמוד לעתירתה לענין העונש במקרה שלפני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בא כח הנאשם טען כי במקרה הנדון נסיבותיו האישיות של הנאשם מצדיקות סיום ההליך כפי שהמליץ שרות המבחן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בעבודות לתועלת הציבור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 xml:space="preserve">בא כח הנאשם טען כי עסקינן בנאשם יליד </w:t>
      </w:r>
      <w:r>
        <w:rPr/>
        <w:t>1985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tl w:val="true"/>
        </w:rPr>
        <w:t xml:space="preserve">,  </w:t>
      </w:r>
      <w:r>
        <w:rPr>
          <w:rtl w:val="true"/>
        </w:rPr>
        <w:t>וציין כי עד למועד הארוע נשוא כתב האישום הנאשם ניהל אורח חיים נורמטיבי ועבד קשה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לדברי בא כוחו</w:t>
      </w:r>
      <w:r>
        <w:rPr>
          <w:rtl w:val="true"/>
        </w:rPr>
        <w:t xml:space="preserve">, </w:t>
      </w:r>
      <w:r>
        <w:rPr>
          <w:rtl w:val="true"/>
        </w:rPr>
        <w:t>פוטר מעבודתו בשטראוס בעקבות הארוע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>בא כח הנאשם טען כי הנאשם מצא את כלי הנשק והסתירם בביתו בדיוק כפי שמצאם</w:t>
      </w:r>
      <w:r>
        <w:rPr>
          <w:rtl w:val="true"/>
        </w:rPr>
        <w:t xml:space="preserve">, </w:t>
      </w:r>
      <w:r>
        <w:rPr>
          <w:rtl w:val="true"/>
        </w:rPr>
        <w:t>ולא עשה כל פעולה בכלי הנשק ולא נטען שניסה לעשות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>בא כח הנאשם טען שהגם שריבוי הכלים שנתפסו אצל הנאשם הוא נסיבה לחומרה</w:t>
      </w:r>
      <w:r>
        <w:rPr>
          <w:rtl w:val="true"/>
        </w:rPr>
        <w:t xml:space="preserve">,  </w:t>
      </w:r>
      <w:r>
        <w:rPr>
          <w:rtl w:val="true"/>
        </w:rPr>
        <w:t>יש לשקול לענין העונש את העובדה שעסקינן במעידה חד פעמית</w:t>
      </w:r>
      <w:r>
        <w:rPr>
          <w:rtl w:val="true"/>
        </w:rPr>
        <w:t xml:space="preserve">, </w:t>
      </w:r>
      <w:r>
        <w:rPr>
          <w:rtl w:val="true"/>
        </w:rPr>
        <w:t>וכן את העובדה שאין עסקינן בעבריין שחשב לבצע פעילות פלילית עם כלי הנשק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>בא כח הנאשם הפנה לכך שהנאשם ביטא צער וחרטה לפני שרות המבחן וכי מתסקיר שרות המבחן עולה שהנאשם מסוגל להבין את הפסול שבהתנהגותו ולהפיק לקחים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>בא כח הנאשם הפנה לכך ששרות המבחן המליץ</w:t>
      </w:r>
      <w:r>
        <w:rPr>
          <w:rtl w:val="true"/>
        </w:rPr>
        <w:t xml:space="preserve">, </w:t>
      </w:r>
      <w:r>
        <w:rPr>
          <w:rtl w:val="true"/>
        </w:rPr>
        <w:t>לאור העובדה שהנאשם הפיק לקחים</w:t>
      </w:r>
      <w:r>
        <w:rPr>
          <w:rtl w:val="true"/>
        </w:rPr>
        <w:t xml:space="preserve">, </w:t>
      </w:r>
      <w:r>
        <w:rPr>
          <w:rtl w:val="true"/>
        </w:rPr>
        <w:t>לאפשר לנאשם לבצע עבודות לתועלת הציבור</w:t>
      </w:r>
      <w:r>
        <w:rPr>
          <w:rtl w:val="true"/>
        </w:rPr>
        <w:t xml:space="preserve">. </w:t>
      </w:r>
      <w:r>
        <w:rPr>
          <w:rtl w:val="true"/>
        </w:rPr>
        <w:t>עוד הפנה לכך ששרות המבחן התרשם באופן חיובי מאביו של הנאשם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>בא כח הנאשם טען כי משפחתו של הנאשם עשתה הכל על מנת לסייע לו ולהחזירו למסלול החיים כפי שתפקד במהלך כל חייו</w:t>
      </w:r>
      <w:r>
        <w:rPr>
          <w:rtl w:val="true"/>
        </w:rPr>
        <w:t xml:space="preserve">. </w:t>
      </w:r>
      <w:r>
        <w:rPr>
          <w:rtl w:val="true"/>
        </w:rPr>
        <w:t>עוד הפנה לכך שהנאשם בעצמו נבהל וחשש מהתנהגותו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>בא כח הנאשם איבחן את פסקי הדין אשר הציגה בא כח המאשימה מהמקרה הנדון</w:t>
      </w:r>
      <w:r>
        <w:rPr>
          <w:rtl w:val="true"/>
        </w:rPr>
        <w:t xml:space="preserve">, </w:t>
      </w:r>
      <w:r>
        <w:rPr>
          <w:rtl w:val="true"/>
        </w:rPr>
        <w:t>והציג מטעמו  גזרי דין  בעניינם של אחרים וביקש ללמוד מגזרי הדין שהוצגו מטעמו לענין שלפני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>לאור כל האמור</w:t>
      </w:r>
      <w:r>
        <w:rPr>
          <w:rtl w:val="true"/>
        </w:rPr>
        <w:t xml:space="preserve">, </w:t>
      </w:r>
      <w:r>
        <w:rPr>
          <w:rtl w:val="true"/>
        </w:rPr>
        <w:t>עתר להטיל על הנאשם עונש של מאסר על תנאי וקנס כספי וכן לחייבו לבצע עבודות לתועלת הציבור</w:t>
      </w:r>
      <w:r>
        <w:rPr>
          <w:rtl w:val="true"/>
        </w:rPr>
        <w:t xml:space="preserve">, </w:t>
      </w:r>
      <w:r>
        <w:rPr>
          <w:rtl w:val="true"/>
        </w:rPr>
        <w:t>והכל כפי שהמליץ שרות המבחן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הנאשם הביע חרטה</w:t>
      </w:r>
      <w:r>
        <w:rPr>
          <w:rtl w:val="true"/>
        </w:rPr>
        <w:t xml:space="preserve">, </w:t>
      </w:r>
      <w:r>
        <w:rPr>
          <w:rtl w:val="true"/>
        </w:rPr>
        <w:t>ועתר לאפשר לו לשקם את חייו ולהוכיח כי הוא מתפקד כפי שתפקד עובר לארוע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בטרם נגזר דינו של הנאשם</w:t>
      </w:r>
      <w:r>
        <w:rPr>
          <w:rtl w:val="true"/>
        </w:rPr>
        <w:t xml:space="preserve">, </w:t>
      </w:r>
      <w:r>
        <w:rPr>
          <w:rtl w:val="true"/>
        </w:rPr>
        <w:t>נתבקש הממונה על עבודות השרות ליתן חוות דעת בעניינו של הנאשם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>הממונה על עבודות השרות מצא את הנאשם כשיר לבצע עבודות שרות והמליץ שהנאשם יבצע עבודות שרות במפעל  חסד יד ביד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שקלתי את טעוני הצדדים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>עיינתי בפסקי הדין אשר הציגו באי כח הצדדים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>הנאשם הורשע  על פי הודאתו בהחזקת מספר כלי נשק</w:t>
      </w:r>
      <w:r>
        <w:rPr>
          <w:rtl w:val="true"/>
        </w:rPr>
        <w:t xml:space="preserve">, </w:t>
      </w:r>
      <w:r>
        <w:rPr>
          <w:rtl w:val="true"/>
        </w:rPr>
        <w:t>לרבות מחסניות תואמות</w:t>
      </w:r>
      <w:r>
        <w:rPr>
          <w:rtl w:val="true"/>
        </w:rPr>
        <w:t xml:space="preserve">, </w:t>
      </w:r>
      <w:r>
        <w:rPr>
          <w:rtl w:val="true"/>
        </w:rPr>
        <w:t>לרבות תחמושת רבה מסוגים שונים ובקטרים שונים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>מטעוני בא כח הנאשם עלה כי הנאשם מצא את כלי הנשק והטמינם בביתו בארון ולא עשה בהם כל שימוש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hyperlink r:id="rId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6671/06</w:t>
        </w:r>
      </w:hyperlink>
      <w:r>
        <w:rPr>
          <w:rtl w:val="true"/>
        </w:rPr>
        <w:t xml:space="preserve">  </w:t>
      </w:r>
      <w:r>
        <w:rPr>
          <w:rtl w:val="true"/>
        </w:rPr>
        <w:t>אשר הוצג על ידי בא כח המאשימה</w:t>
      </w:r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בית המשפט דן בעניינו של  משיב שהורשע בשתי עבירות של נשיאה והובלה של נשק ובאופן שהמשיב נסע ברכב כשהוא נושא בין רגליו אקדח טעון במחסנית ובה תשעה כדורים</w:t>
      </w:r>
      <w:r>
        <w:rPr>
          <w:rtl w:val="true"/>
        </w:rPr>
        <w:t xml:space="preserve">, </w:t>
      </w:r>
      <w:r>
        <w:rPr>
          <w:rtl w:val="true"/>
        </w:rPr>
        <w:t>כמו כן החזיק בכיסו שקית ובה תשעה כדורים נוספים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בית משפט קמא הטיל על המשיב ששה חודשי מאסר  שירוצו בדרך של עבודות שרות וכן 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. </w:t>
      </w:r>
      <w:r>
        <w:rPr>
          <w:rtl w:val="true"/>
        </w:rPr>
        <w:t>בנוסף קנס כב</w:t>
      </w:r>
      <w:r>
        <w:rPr>
          <w:rtl w:val="true"/>
        </w:rPr>
        <w:t xml:space="preserve">'  </w:t>
      </w:r>
      <w:r>
        <w:rPr>
          <w:rtl w:val="true"/>
        </w:rPr>
        <w:t xml:space="preserve">בית המשפט את המשיב  בסך של </w:t>
      </w:r>
      <w:r>
        <w:rPr/>
        <w:t>3,000</w:t>
      </w:r>
      <w:r>
        <w:rPr>
          <w:rtl w:val="true"/>
        </w:rPr>
        <w:t xml:space="preserve"> ₪. </w:t>
      </w:r>
    </w:p>
    <w:p>
      <w:pPr>
        <w:pStyle w:val="Normal"/>
        <w:ind w:end="0"/>
        <w:jc w:val="start"/>
        <w:rPr/>
      </w:pPr>
      <w:r>
        <w:rPr>
          <w:rtl w:val="true"/>
        </w:rPr>
        <w:t>המדינה ערערה לפני כב</w:t>
      </w:r>
      <w:r>
        <w:rPr>
          <w:rtl w:val="true"/>
        </w:rPr>
        <w:t xml:space="preserve">' </w:t>
      </w:r>
      <w:r>
        <w:rPr>
          <w:rtl w:val="true"/>
        </w:rPr>
        <w:t xml:space="preserve">בית המשפט העליון על </w:t>
      </w:r>
      <w:r>
        <w:rPr>
          <w:rtl w:val="true"/>
        </w:rPr>
        <w:t>"</w:t>
      </w:r>
      <w:r>
        <w:rPr>
          <w:rtl w:val="true"/>
        </w:rPr>
        <w:t>העדרה של תקופת מאסר משמעותית שתרוצה מאחורי סורג ובריח</w:t>
      </w:r>
      <w:r>
        <w:rPr>
          <w:rtl w:val="true"/>
        </w:rPr>
        <w:t>".</w:t>
      </w:r>
    </w:p>
    <w:p>
      <w:pPr>
        <w:pStyle w:val="Normal"/>
        <w:ind w:end="0"/>
        <w:jc w:val="start"/>
        <w:rPr/>
      </w:pP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בית המשפט קבע בפסק דינו  </w:t>
      </w:r>
      <w:r>
        <w:rPr>
          <w:rtl w:val="true"/>
        </w:rPr>
        <w:t>"</w:t>
      </w:r>
      <w:r>
        <w:rPr>
          <w:rtl w:val="true"/>
        </w:rPr>
        <w:t>בחנו את הנסיבות ודעתנו היא כי ערעור זה בדין יסודו</w:t>
      </w:r>
      <w:r>
        <w:rPr>
          <w:rtl w:val="true"/>
        </w:rPr>
        <w:t xml:space="preserve">. </w:t>
      </w:r>
      <w:r>
        <w:rPr>
          <w:rtl w:val="true"/>
        </w:rPr>
        <w:t>פוטנציאל הסיכון שבהחזקת נשק איננו טעון הבהרה</w:t>
      </w:r>
      <w:r>
        <w:rPr>
          <w:rtl w:val="true"/>
        </w:rPr>
        <w:t xml:space="preserve">. </w:t>
      </w:r>
      <w:r>
        <w:rPr>
          <w:rtl w:val="true"/>
        </w:rPr>
        <w:t xml:space="preserve">לא בכדי קצב המחוקק עונש מקסימלי של   </w:t>
      </w:r>
      <w:r>
        <w:rPr/>
        <w:t>10</w:t>
      </w:r>
      <w:r>
        <w:rPr>
          <w:rtl w:val="true"/>
        </w:rPr>
        <w:t xml:space="preserve">  </w:t>
      </w:r>
      <w:r>
        <w:rPr>
          <w:rtl w:val="true"/>
        </w:rPr>
        <w:t xml:space="preserve">שנות מאסר בגין ביצוע העבירה על פי </w:t>
      </w:r>
      <w:hyperlink r:id="rId8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לחוק</w:t>
      </w:r>
      <w:r>
        <w:rPr>
          <w:rtl w:val="true"/>
        </w:rPr>
        <w:t xml:space="preserve">. </w:t>
      </w:r>
      <w:r>
        <w:rPr>
          <w:rtl w:val="true"/>
        </w:rPr>
        <w:t>בית משפט קמא ציין בגזר הדין כי הסתבר שהאקדח שנמצא אצל המשיב שימש בעבר לאירוע של ניסיון לרצח</w:t>
      </w:r>
      <w:r>
        <w:rPr>
          <w:rtl w:val="true"/>
        </w:rPr>
        <w:t xml:space="preserve">. </w:t>
      </w:r>
      <w:r>
        <w:rPr>
          <w:rtl w:val="true"/>
        </w:rPr>
        <w:t>אין כל טענה כי למשיב קשר כלשהו לאירוע זה</w:t>
      </w:r>
      <w:r>
        <w:rPr>
          <w:rtl w:val="true"/>
        </w:rPr>
        <w:t xml:space="preserve">. </w:t>
      </w:r>
      <w:r>
        <w:rPr>
          <w:rtl w:val="true"/>
        </w:rPr>
        <w:t>אולם יש בכך המחשה קונקרטית לסיכון הגלום בנשק ולמטרות הפסולות שלהן הוא עלול לשמש</w:t>
      </w:r>
      <w:r>
        <w:rPr>
          <w:rtl w:val="true"/>
        </w:rPr>
        <w:t>".</w:t>
      </w:r>
    </w:p>
    <w:p>
      <w:pPr>
        <w:pStyle w:val="Normal"/>
        <w:ind w:end="0"/>
        <w:jc w:val="start"/>
        <w:rPr/>
      </w:pP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בית המשפט התייחס בפסק דינו לכך שהמשיב לא נתן כל הסבר באשר למקור הנשק</w:t>
      </w:r>
      <w:r>
        <w:rPr>
          <w:rtl w:val="true"/>
        </w:rPr>
        <w:t xml:space="preserve">, </w:t>
      </w:r>
      <w:r>
        <w:rPr>
          <w:rtl w:val="true"/>
        </w:rPr>
        <w:t>ייעודו או הסיבה מדוע החזיקו באותו יום</w:t>
      </w:r>
      <w:r>
        <w:rPr>
          <w:rtl w:val="true"/>
        </w:rPr>
        <w:t xml:space="preserve">, </w:t>
      </w:r>
      <w:r>
        <w:rPr>
          <w:rtl w:val="true"/>
        </w:rPr>
        <w:t xml:space="preserve">וההסבר היחיד ניתן לקצין המבחן שם טען כי  </w:t>
      </w:r>
      <w:r>
        <w:rPr>
          <w:rtl w:val="true"/>
        </w:rPr>
        <w:t>"</w:t>
      </w:r>
      <w:r>
        <w:rPr>
          <w:rtl w:val="true"/>
        </w:rPr>
        <w:t>ביום הארוע מצא את האקדח והקליעים מתחת למחצלת פתח ביתו</w:t>
      </w:r>
      <w:r>
        <w:rPr>
          <w:rtl w:val="true"/>
        </w:rPr>
        <w:t xml:space="preserve">, </w:t>
      </w:r>
      <w:r>
        <w:rPr>
          <w:rtl w:val="true"/>
        </w:rPr>
        <w:t>החליט לקחת אותם למקום עבודתו על מנת להיוועץ עם מעסיקו ובדרך לשם נתפס על ידי השוטרים</w:t>
      </w:r>
      <w:r>
        <w:rPr>
          <w:rtl w:val="true"/>
        </w:rPr>
        <w:t>".</w:t>
      </w:r>
    </w:p>
    <w:p>
      <w:pPr>
        <w:pStyle w:val="Normal"/>
        <w:ind w:end="0"/>
        <w:jc w:val="start"/>
        <w:rPr/>
      </w:pP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בית המשפט  קבע </w:t>
      </w:r>
      <w:r>
        <w:rPr>
          <w:rtl w:val="true"/>
        </w:rPr>
        <w:t>"</w:t>
      </w:r>
      <w:r>
        <w:rPr>
          <w:rtl w:val="true"/>
        </w:rPr>
        <w:t>החזקת נשק טעון מקרבת את הסיכון לאלימות קשה עד קטלנית</w:t>
      </w:r>
      <w:r>
        <w:rPr>
          <w:rtl w:val="true"/>
        </w:rPr>
        <w:t xml:space="preserve">. </w:t>
      </w:r>
      <w:r>
        <w:rPr>
          <w:rtl w:val="true"/>
        </w:rPr>
        <w:t>המציאות בארץ מחייבת מתן ביטוי עונשי הולם לאותה מסוכנות</w:t>
      </w:r>
      <w:r>
        <w:rPr>
          <w:rtl w:val="true"/>
        </w:rPr>
        <w:t xml:space="preserve">, </w:t>
      </w:r>
      <w:r>
        <w:rPr>
          <w:rtl w:val="true"/>
        </w:rPr>
        <w:t>כמו גם לזמינותם ונפיצותם של כלי נשק למיניהם</w:t>
      </w:r>
      <w:r>
        <w:rPr>
          <w:rtl w:val="true"/>
        </w:rPr>
        <w:t>".</w:t>
      </w:r>
    </w:p>
    <w:p>
      <w:pPr>
        <w:pStyle w:val="Normal"/>
        <w:ind w:end="0"/>
        <w:jc w:val="start"/>
        <w:rPr/>
      </w:pP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בית המשפט ציין כי הוא עיין בתסקירי שרות המבחן ולא מצא בהם נסיבות מיוחדות המצדיקות סטיה מרמת הענישה  ולפיכך קיבל את הערעור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בית המשפט ציין כדלקמן</w:t>
      </w:r>
      <w:r>
        <w:rPr>
          <w:rtl w:val="true"/>
        </w:rPr>
        <w:t>: "</w:t>
      </w:r>
      <w:r>
        <w:rPr>
          <w:rtl w:val="true"/>
        </w:rPr>
        <w:t>בהיותנו ערכאת ערעור שאיננה נוהגת למצות את הדין עם המשיבים</w:t>
      </w:r>
      <w:r>
        <w:rPr>
          <w:rtl w:val="true"/>
        </w:rPr>
        <w:t xml:space="preserve">, </w:t>
      </w:r>
      <w:r>
        <w:rPr>
          <w:rtl w:val="true"/>
        </w:rPr>
        <w:t xml:space="preserve">אנו מעמידים את תקופת המאסר על 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יתר רכיבי הענישה שהוטלו בבימ</w:t>
      </w:r>
      <w:r>
        <w:rPr>
          <w:rtl w:val="true"/>
        </w:rPr>
        <w:t>"</w:t>
      </w:r>
      <w:r>
        <w:rPr>
          <w:rtl w:val="true"/>
        </w:rPr>
        <w:t>ש קמא ישארו על כנם</w:t>
      </w:r>
      <w:r>
        <w:rPr>
          <w:rtl w:val="true"/>
        </w:rPr>
        <w:t>... ".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גם במקרה שלפני הנאשם טען כי הוא מצא את הנשק</w:t>
      </w:r>
      <w:r>
        <w:rPr>
          <w:rtl w:val="true"/>
        </w:rPr>
        <w:t xml:space="preserve">, </w:t>
      </w:r>
      <w:r>
        <w:rPr>
          <w:rtl w:val="true"/>
        </w:rPr>
        <w:t xml:space="preserve">אולם במקרה שלפני הנאשם לא נשא את הנשק כי אם החזיקו בארון בביתו והעבירה המיוחסת לנאשם שלפני הנה עבירה לפי </w:t>
      </w:r>
      <w:hyperlink r:id="rId9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וסיפא ל</w:t>
      </w:r>
      <w:hyperlink r:id="rId10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1977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hyperlink r:id="rId1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 </w:t>
        </w:r>
        <w:r>
          <w:rPr>
            <w:rStyle w:val="Hyperlink"/>
          </w:rPr>
          <w:t>11991/05</w:t>
        </w:r>
      </w:hyperlink>
      <w:r>
        <w:rPr>
          <w:rtl w:val="true"/>
        </w:rPr>
        <w:t xml:space="preserve"> </w:t>
      </w:r>
      <w:r>
        <w:rPr>
          <w:rtl w:val="true"/>
        </w:rPr>
        <w:t>אשר הוצג על ידי 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בית המשפט  דן בעניינו של נאשם שהורשע על פי הודאתו בעבירות של החזקת נשק שלא כדין ושיבוש מהלכי משפט</w:t>
      </w:r>
      <w:r>
        <w:rPr>
          <w:rtl w:val="true"/>
        </w:rPr>
        <w:t xml:space="preserve">, </w:t>
      </w:r>
      <w:r>
        <w:rPr>
          <w:rtl w:val="true"/>
        </w:rPr>
        <w:t xml:space="preserve">ובאופן שהנאשם הודה בהחזקת אקדח בקוטר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כשהוא טעון במחסנית ובה כדורים</w:t>
      </w:r>
      <w:r>
        <w:rPr>
          <w:rtl w:val="true"/>
        </w:rPr>
        <w:t xml:space="preserve">, </w:t>
      </w:r>
      <w:r>
        <w:rPr>
          <w:rtl w:val="true"/>
        </w:rPr>
        <w:t>האקדח נתפס בחיפוש שנערך בביתו של הנאשם ובדיקה העלתה כי מדובר באקדח גנוב</w:t>
      </w:r>
      <w:r>
        <w:rPr>
          <w:rtl w:val="true"/>
        </w:rPr>
        <w:t xml:space="preserve">. </w:t>
      </w:r>
      <w:r>
        <w:rPr>
          <w:rtl w:val="true"/>
        </w:rPr>
        <w:t>הנאשם עת הבחין בשוטרים בקרבת ביתו השליך את האקדח מגג ביתו ובשל כך המשיבה ייחסה לו גם עבירה של שיבוש מהלכי משפט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בית המשפט ציין בהחלטתו כי במסגרת הטעונים לעונש התברר כי משפחתו של המבקש היתה מעורבת בסכסוך אלים עם משפחה אחרת בטייבה</w:t>
      </w:r>
      <w:r>
        <w:rPr>
          <w:rtl w:val="true"/>
        </w:rPr>
        <w:t xml:space="preserve">, </w:t>
      </w:r>
      <w:r>
        <w:rPr>
          <w:rtl w:val="true"/>
        </w:rPr>
        <w:t>הישוב בו התגוררה</w:t>
      </w:r>
      <w:r>
        <w:rPr>
          <w:rtl w:val="true"/>
        </w:rPr>
        <w:t xml:space="preserve">, </w:t>
      </w:r>
      <w:r>
        <w:rPr>
          <w:rtl w:val="true"/>
        </w:rPr>
        <w:t>שבמהלכו קפחו את חייהם מספר קרבנות וביניהם אחי המבקש</w:t>
      </w:r>
      <w:r>
        <w:rPr>
          <w:rtl w:val="true"/>
        </w:rPr>
        <w:t xml:space="preserve">, </w:t>
      </w:r>
      <w:r>
        <w:rPr>
          <w:rtl w:val="true"/>
        </w:rPr>
        <w:t xml:space="preserve">ולגרסת המבקש </w:t>
      </w:r>
      <w:r>
        <w:rPr>
          <w:rtl w:val="true"/>
        </w:rPr>
        <w:t>"</w:t>
      </w:r>
      <w:r>
        <w:rPr>
          <w:rtl w:val="true"/>
        </w:rPr>
        <w:t>החזקתו של האקדח נעשתה על רקע סכסוך זה</w:t>
      </w:r>
      <w:r>
        <w:rPr>
          <w:rtl w:val="true"/>
        </w:rPr>
        <w:t xml:space="preserve">, </w:t>
      </w:r>
      <w:r>
        <w:rPr>
          <w:rtl w:val="true"/>
        </w:rPr>
        <w:t>ולאור חששו  לחייו ולחייהם של בני משפחתו</w:t>
      </w:r>
      <w:r>
        <w:rPr>
          <w:rtl w:val="true"/>
        </w:rPr>
        <w:t>".</w:t>
      </w:r>
    </w:p>
    <w:p>
      <w:pPr>
        <w:pStyle w:val="Normal"/>
        <w:ind w:end="0"/>
        <w:jc w:val="start"/>
        <w:rPr/>
      </w:pP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בית משפט השלום גזר על המבקש 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ו  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 מאסר על תנאי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>ערעור שהוגש   לפני כב</w:t>
      </w:r>
      <w:r>
        <w:rPr>
          <w:rtl w:val="true"/>
        </w:rPr>
        <w:t xml:space="preserve">'  </w:t>
      </w:r>
      <w:r>
        <w:rPr>
          <w:rtl w:val="true"/>
        </w:rPr>
        <w:t>בית המשפט המחוזי כנגד גזר הדין נדחה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בית המשפט החליט כדלקמן</w:t>
      </w:r>
      <w:r>
        <w:rPr>
          <w:rtl w:val="true"/>
        </w:rPr>
        <w:t>: "</w:t>
      </w:r>
      <w:r>
        <w:rPr>
          <w:rtl w:val="true"/>
        </w:rPr>
        <w:t>עתה עותר המבקש לקבלתה של רשות ערעור</w:t>
      </w:r>
      <w:r>
        <w:rPr>
          <w:rtl w:val="true"/>
        </w:rPr>
        <w:t xml:space="preserve">, </w:t>
      </w:r>
      <w:r>
        <w:rPr>
          <w:rtl w:val="true"/>
        </w:rPr>
        <w:t>הואיל ולהשקפתו תקופת המאסר שהושתה עליו חורגת מרמת הענישה המקובלת</w:t>
      </w:r>
      <w:r>
        <w:rPr>
          <w:rtl w:val="true"/>
        </w:rPr>
        <w:t xml:space="preserve">, </w:t>
      </w:r>
      <w:r>
        <w:rPr>
          <w:rtl w:val="true"/>
        </w:rPr>
        <w:t>ומתעלמת מנסיבותיו האישיות</w:t>
      </w:r>
      <w:r>
        <w:rPr>
          <w:rtl w:val="true"/>
        </w:rPr>
        <w:t xml:space="preserve">, </w:t>
      </w:r>
      <w:r>
        <w:rPr>
          <w:rtl w:val="true"/>
        </w:rPr>
        <w:t>וביניהן היותו אדם נורמטיבי העוסק ביישוב סכסוכים במגזר הערבי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 תחושת האיום שבעטייה החזיק את הנשק</w:t>
      </w:r>
      <w:r>
        <w:rPr>
          <w:rtl w:val="true"/>
        </w:rPr>
        <w:t xml:space="preserve">, </w:t>
      </w:r>
      <w:r>
        <w:rPr>
          <w:rtl w:val="true"/>
        </w:rPr>
        <w:t>היתה צריכה להוות נימוק לקולא בעניינו</w:t>
      </w:r>
      <w:r>
        <w:rPr>
          <w:rtl w:val="true"/>
        </w:rPr>
        <w:t xml:space="preserve">. </w:t>
      </w:r>
      <w:r>
        <w:rPr>
          <w:rtl w:val="true"/>
        </w:rPr>
        <w:t>ועוד להשקפת המבקש החמרה בעונשו רק בשל ריבויין של עבירות החזקת נשק שלא כדין באזור מגוריו</w:t>
      </w:r>
      <w:r>
        <w:rPr>
          <w:rtl w:val="true"/>
        </w:rPr>
        <w:t xml:space="preserve">, </w:t>
      </w:r>
      <w:r>
        <w:rPr>
          <w:rtl w:val="true"/>
        </w:rPr>
        <w:t>חורגת היא מעקרון הענישה האינדיבידואלית</w:t>
      </w:r>
      <w:r>
        <w:rPr>
          <w:rtl w:val="true"/>
        </w:rPr>
        <w:t xml:space="preserve">.  </w:t>
      </w:r>
      <w:r>
        <w:rPr>
          <w:rtl w:val="true"/>
        </w:rPr>
        <w:t>דין הבקשה להידחות</w:t>
      </w:r>
      <w:r>
        <w:rPr>
          <w:rtl w:val="true"/>
        </w:rPr>
        <w:t xml:space="preserve">. </w:t>
      </w:r>
      <w:r>
        <w:rPr>
          <w:rtl w:val="true"/>
        </w:rPr>
        <w:t>רשות ערעור ניתנת במשורה ומיועדת היא למקרים המעוררים שאלות משפטיות כלליות בעלות השלכות ציבוריות או חוקתיות</w:t>
      </w:r>
      <w:r>
        <w:rPr>
          <w:rtl w:val="true"/>
        </w:rPr>
        <w:t xml:space="preserve">... </w:t>
      </w:r>
      <w:r>
        <w:rPr>
          <w:rtl w:val="true"/>
        </w:rPr>
        <w:t>לא כזו היא הבקשה שבפני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משפט השלום</w:t>
      </w:r>
      <w:r>
        <w:rPr>
          <w:rtl w:val="true"/>
        </w:rPr>
        <w:t xml:space="preserve">, </w:t>
      </w:r>
      <w:r>
        <w:rPr>
          <w:rtl w:val="true"/>
        </w:rPr>
        <w:t>וכמוהו גם בית המשפט המחוזי</w:t>
      </w:r>
      <w:r>
        <w:rPr>
          <w:rtl w:val="true"/>
        </w:rPr>
        <w:t xml:space="preserve">, </w:t>
      </w:r>
      <w:r>
        <w:rPr>
          <w:rtl w:val="true"/>
        </w:rPr>
        <w:t>עמדו בהרחבה על הנימוקים שהובילו להחמרה בעונשו של המבקש</w:t>
      </w:r>
      <w:r>
        <w:rPr>
          <w:rtl w:val="true"/>
        </w:rPr>
        <w:t xml:space="preserve">, </w:t>
      </w:r>
      <w:r>
        <w:rPr>
          <w:rtl w:val="true"/>
        </w:rPr>
        <w:t>ובמרכזן העובדה כי המערער חטא בעבר בעבירות שעל חומרתן אין צורך להרבות מלים ובגינן הוא  נכלא לתקופה ממושכת</w:t>
      </w:r>
      <w:r>
        <w:rPr>
          <w:rtl w:val="true"/>
        </w:rPr>
        <w:t xml:space="preserve">. </w:t>
      </w:r>
      <w:r>
        <w:rPr>
          <w:rtl w:val="true"/>
        </w:rPr>
        <w:t>חרף כל אלה שב המבקש לסורו</w:t>
      </w:r>
      <w:r>
        <w:rPr>
          <w:rtl w:val="true"/>
        </w:rPr>
        <w:t xml:space="preserve">, </w:t>
      </w:r>
      <w:r>
        <w:rPr>
          <w:rtl w:val="true"/>
        </w:rPr>
        <w:t>ומכאן שההחמרה המסוימת בעונשו אין מקורה בהתעלמות מעיקרון הענישה האינדיבידואלית</w:t>
      </w:r>
      <w:r>
        <w:rPr>
          <w:rtl w:val="true"/>
        </w:rPr>
        <w:t xml:space="preserve">, </w:t>
      </w:r>
      <w:r>
        <w:rPr>
          <w:rtl w:val="true"/>
        </w:rPr>
        <w:t>אלא משום שהמבקש הוכיח במעשיו כי אין הוא נתון למוראו של הדין ונשקפת ממנו סכנה לציבור</w:t>
      </w:r>
      <w:r>
        <w:rPr>
          <w:rtl w:val="true"/>
        </w:rPr>
        <w:t xml:space="preserve">. </w:t>
      </w:r>
      <w:r>
        <w:rPr>
          <w:rtl w:val="true"/>
        </w:rPr>
        <w:t>כך או כך</w:t>
      </w:r>
      <w:r>
        <w:rPr>
          <w:rtl w:val="true"/>
        </w:rPr>
        <w:t xml:space="preserve">, </w:t>
      </w:r>
      <w:r>
        <w:rPr>
          <w:rtl w:val="true"/>
        </w:rPr>
        <w:t>סוגיית העונש נבחנה בידי שתי ערכאות</w:t>
      </w:r>
      <w:r>
        <w:rPr>
          <w:rtl w:val="true"/>
        </w:rPr>
        <w:t xml:space="preserve">, </w:t>
      </w:r>
      <w:r>
        <w:rPr>
          <w:rtl w:val="true"/>
        </w:rPr>
        <w:t>ובכך די</w:t>
      </w:r>
      <w:r>
        <w:rPr>
          <w:rtl w:val="true"/>
        </w:rPr>
        <w:t>... ".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במקרה שלפני הנאשם הוא ללא עבר פלילי</w:t>
      </w:r>
      <w:r>
        <w:rPr>
          <w:rtl w:val="true"/>
        </w:rPr>
        <w:t xml:space="preserve">, </w:t>
      </w:r>
      <w:r>
        <w:rPr>
          <w:rtl w:val="true"/>
        </w:rPr>
        <w:t>אולם הנאשם החזיק  במספר כלי נשק ותחמושת רבה מסוגים שונים וקוטרים שונים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 </w:t>
        </w:r>
        <w:r>
          <w:rPr>
            <w:rStyle w:val="Hyperlink"/>
          </w:rPr>
          <w:t>761/07</w:t>
        </w:r>
      </w:hyperlink>
      <w:r>
        <w:rPr>
          <w:rtl w:val="true"/>
        </w:rPr>
        <w:t xml:space="preserve">  </w:t>
      </w:r>
      <w:r>
        <w:rPr>
          <w:rtl w:val="true"/>
        </w:rPr>
        <w:t>אשר הוצג על ידי בא כח המאשימה</w:t>
      </w:r>
      <w:r>
        <w:rPr>
          <w:rtl w:val="true"/>
        </w:rPr>
        <w:t xml:space="preserve">,  </w:t>
      </w:r>
      <w:r>
        <w:rPr>
          <w:rtl w:val="true"/>
        </w:rPr>
        <w:t>נעצר המשיב על ידי שוטרים לבדיקה ונמצא מחזיק באקדח</w:t>
      </w:r>
      <w:r>
        <w:rPr>
          <w:rtl w:val="true"/>
        </w:rPr>
        <w:t xml:space="preserve">, </w:t>
      </w:r>
      <w:r>
        <w:rPr>
          <w:rtl w:val="true"/>
        </w:rPr>
        <w:t>מחסנית ותחמושת כשאלה עטופים בגרב ומוסתרים בתחתוניו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>כמו כן  הציג בפני השוטרים תעודת זהות של אחר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 xml:space="preserve">המשיב הודה והורשע בעבירות של החזקת נשק שלא כדין והפרעה לשוטר במילוי תפקידו ונדון ל  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ו ל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 מאסר  על תנאי</w:t>
      </w:r>
      <w:r>
        <w:rPr>
          <w:rtl w:val="true"/>
        </w:rPr>
        <w:t xml:space="preserve">.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בית המשפט  קבע כי </w:t>
      </w:r>
      <w:r>
        <w:rPr>
          <w:rtl w:val="true"/>
        </w:rPr>
        <w:t>"</w:t>
      </w:r>
      <w:r>
        <w:rPr>
          <w:rtl w:val="true"/>
        </w:rPr>
        <w:t>מקום שאדם נמצא מחזיק בנשק כשהוא טעון במחסנית ובתחמושת ללא רשיון</w:t>
      </w:r>
      <w:r>
        <w:rPr>
          <w:rtl w:val="true"/>
        </w:rPr>
        <w:t xml:space="preserve">, </w:t>
      </w:r>
      <w:r>
        <w:rPr>
          <w:rtl w:val="true"/>
        </w:rPr>
        <w:t>מותר להניח לחובתו כי הוא עשה זאת למטרות לא כשרות</w:t>
      </w:r>
      <w:r>
        <w:rPr>
          <w:rtl w:val="true"/>
        </w:rPr>
        <w:t xml:space="preserve">, </w:t>
      </w:r>
      <w:r>
        <w:rPr>
          <w:rtl w:val="true"/>
        </w:rPr>
        <w:t>במיוחד כאשר הוא  אינו מציע לכך הסבר אשר יניח את דעתו של בית המשפט</w:t>
      </w:r>
      <w:r>
        <w:rPr>
          <w:rtl w:val="true"/>
        </w:rPr>
        <w:t xml:space="preserve">... ". </w:t>
      </w:r>
    </w:p>
    <w:p>
      <w:pPr>
        <w:pStyle w:val="Normal"/>
        <w:ind w:end="0"/>
        <w:jc w:val="start"/>
        <w:rPr/>
      </w:pPr>
      <w:r>
        <w:rPr>
          <w:rtl w:val="true"/>
        </w:rPr>
        <w:t>לציין כי המשיב במקרה שהובא לפני כב</w:t>
      </w:r>
      <w:r>
        <w:rPr>
          <w:rtl w:val="true"/>
        </w:rPr>
        <w:t xml:space="preserve">' </w:t>
      </w:r>
      <w:r>
        <w:rPr>
          <w:rtl w:val="true"/>
        </w:rPr>
        <w:t>בית המשפט  היה בעל הרשעות קודמות</w:t>
      </w:r>
      <w:r>
        <w:rPr>
          <w:rtl w:val="true"/>
        </w:rPr>
        <w:t xml:space="preserve">.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בית המשפט  קיבל את ערעורה של המדינה וקבע כי המאסר בפועל יעמוד על שנתיים ותקופת התנאי נותרה על כנה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המשיב שלפני נעדר הרשעות קודמות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hyperlink r:id="rId13">
        <w:r>
          <w:rPr>
            <w:rStyle w:val="Hyperlink"/>
            <w:rtl w:val="true"/>
          </w:rPr>
          <w:t xml:space="preserve">תיק פלילי  </w:t>
        </w:r>
        <w:r>
          <w:rPr>
            <w:rStyle w:val="Hyperlink"/>
          </w:rPr>
          <w:t>40032/02</w:t>
        </w:r>
      </w:hyperlink>
      <w:r>
        <w:rPr>
          <w:rtl w:val="true"/>
        </w:rPr>
        <w:t xml:space="preserve">  </w:t>
      </w:r>
      <w:r>
        <w:rPr>
          <w:rtl w:val="true"/>
        </w:rPr>
        <w:t>בבית המשפט המחוזי בתל אביב</w:t>
      </w:r>
      <w:r>
        <w:rPr>
          <w:rtl w:val="true"/>
        </w:rPr>
        <w:t xml:space="preserve">, </w:t>
      </w:r>
      <w:r>
        <w:rPr>
          <w:rtl w:val="true"/>
        </w:rPr>
        <w:t>אשר הוצג על ידי בא כח הנאשם</w:t>
      </w:r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בית המשפט דן בצעיר כבן עשרים אשר הורשע על פי הודאתו בעבירות של הובלת נשק ונשיאתו וכן בריחה ממשמורת חוקית</w:t>
      </w:r>
      <w:r>
        <w:rPr>
          <w:rtl w:val="true"/>
        </w:rPr>
        <w:t xml:space="preserve">. </w:t>
      </w:r>
      <w:r>
        <w:rPr>
          <w:rtl w:val="true"/>
        </w:rPr>
        <w:t>הנאשם היה ללא עבר פלילי וטען כי מצא את האקדח טמון בשקית בקרבת אזור מגוריו והתכוון למוסרו למשטרה אלא ששוטרי הסיור הקדימוהו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>"</w:t>
      </w:r>
      <w:r>
        <w:rPr>
          <w:rtl w:val="true"/>
        </w:rPr>
        <w:t>הנאשם הכיר בחטאו והכה עליו כבר בשיחותיו עם קצינת המבחן</w:t>
      </w:r>
      <w:r>
        <w:rPr>
          <w:rtl w:val="true"/>
        </w:rPr>
        <w:t xml:space="preserve">". </w:t>
      </w:r>
    </w:p>
    <w:p>
      <w:pPr>
        <w:pStyle w:val="Normal"/>
        <w:ind w:end="0"/>
        <w:jc w:val="start"/>
        <w:rPr/>
      </w:pPr>
      <w:r>
        <w:rPr>
          <w:rtl w:val="true"/>
        </w:rPr>
        <w:t>שרות המבחן הכיר ביכולתו של הנאשם להכיר בחומרת התנהגותו וכן ברצונו להיות תחת פיקוח והדרכה של שרות המבחן</w:t>
      </w:r>
      <w:r>
        <w:rPr>
          <w:rtl w:val="true"/>
        </w:rPr>
        <w:t xml:space="preserve">. </w:t>
      </w:r>
      <w:r>
        <w:rPr>
          <w:rtl w:val="true"/>
        </w:rPr>
        <w:t>הנאשם  במקרה שהובא לפני כב</w:t>
      </w:r>
      <w:r>
        <w:rPr>
          <w:rtl w:val="true"/>
        </w:rPr>
        <w:t xml:space="preserve">' </w:t>
      </w:r>
      <w:r>
        <w:rPr>
          <w:rtl w:val="true"/>
        </w:rPr>
        <w:t>בית המשפט שם</w:t>
      </w:r>
      <w:r>
        <w:rPr>
          <w:rtl w:val="true"/>
        </w:rPr>
        <w:t xml:space="preserve">, </w:t>
      </w:r>
      <w:r>
        <w:rPr>
          <w:rtl w:val="true"/>
        </w:rPr>
        <w:t>הנאשם  היה מאורס והתכוון להקים משפחה</w:t>
      </w:r>
      <w:r>
        <w:rPr>
          <w:rtl w:val="true"/>
        </w:rPr>
        <w:t xml:space="preserve">. </w:t>
      </w:r>
      <w:r>
        <w:rPr>
          <w:rtl w:val="true"/>
        </w:rPr>
        <w:t>שרות המבחן המליץ להסתפק בהטלת עבודות לתועלת הציבור לצד פיקוח של שרות מבחן</w:t>
      </w:r>
      <w:r>
        <w:rPr>
          <w:rtl w:val="true"/>
        </w:rPr>
        <w:t xml:space="preserve">.  </w:t>
      </w:r>
      <w:r>
        <w:rPr>
          <w:rtl w:val="true"/>
        </w:rPr>
        <w:t>התביעה עתרה לגזור על הנאשם עונש מאסר משמעותי</w:t>
      </w:r>
      <w:r>
        <w:rPr>
          <w:rtl w:val="true"/>
        </w:rPr>
        <w:t xml:space="preserve">.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בית המשפט לאור </w:t>
      </w:r>
      <w:r>
        <w:rPr>
          <w:rtl w:val="true"/>
        </w:rPr>
        <w:t>"</w:t>
      </w:r>
      <w:r>
        <w:rPr>
          <w:rtl w:val="true"/>
        </w:rPr>
        <w:t>גילו הצעיר של הנאשם</w:t>
      </w:r>
      <w:r>
        <w:rPr>
          <w:rtl w:val="true"/>
        </w:rPr>
        <w:t xml:space="preserve">, </w:t>
      </w:r>
      <w:r>
        <w:rPr>
          <w:rtl w:val="true"/>
        </w:rPr>
        <w:t>המחוייבות המשפחתית שהוא נוטל על עצמו ובעיקר העובדה שזהו לו האישום הראשון</w:t>
      </w:r>
      <w:r>
        <w:rPr>
          <w:rtl w:val="true"/>
        </w:rPr>
        <w:t xml:space="preserve">... " </w:t>
      </w:r>
      <w:r>
        <w:rPr>
          <w:rtl w:val="true"/>
        </w:rPr>
        <w:t xml:space="preserve">גזר על הנאשם  </w:t>
      </w:r>
      <w:r>
        <w:rPr>
          <w:rtl w:val="true"/>
        </w:rPr>
        <w:t>"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מהם  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לריצוי בפועל בניכוי ימי מעצרו</w:t>
      </w:r>
      <w:r>
        <w:rPr>
          <w:rtl w:val="true"/>
        </w:rPr>
        <w:t xml:space="preserve">... " </w:t>
      </w:r>
      <w:r>
        <w:rPr>
          <w:rtl w:val="true"/>
        </w:rPr>
        <w:t>והורה לממונה על עבודות השרות ליתן חוות דעת לאפשרות שהנאשם ירצה את עונשו בעבודות שרות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color w:val="000000"/>
          <w:rtl w:val="true"/>
        </w:rPr>
        <w:t xml:space="preserve">תיק פלילי </w:t>
      </w:r>
      <w:r>
        <w:rPr>
          <w:color w:val="000000"/>
        </w:rPr>
        <w:t>174/03</w:t>
      </w:r>
      <w:r>
        <w:rPr>
          <w:rtl w:val="true"/>
        </w:rPr>
        <w:t xml:space="preserve">,  </w:t>
      </w:r>
      <w:r>
        <w:rPr>
          <w:rtl w:val="true"/>
        </w:rPr>
        <w:t>בבית המשפט המחוזי בנצרת</w:t>
      </w:r>
      <w:r>
        <w:rPr>
          <w:rtl w:val="true"/>
        </w:rPr>
        <w:t xml:space="preserve">, </w:t>
      </w:r>
      <w:r>
        <w:rPr>
          <w:rtl w:val="true"/>
        </w:rPr>
        <w:t>גזר דין  אשר הוצג על ידי בא כח הנאשם</w:t>
      </w:r>
      <w:r>
        <w:rPr>
          <w:rtl w:val="true"/>
        </w:rPr>
        <w:t xml:space="preserve">, </w:t>
      </w:r>
      <w:r>
        <w:rPr>
          <w:rtl w:val="true"/>
        </w:rPr>
        <w:t>הורשע הנאשם על פי הודאתו בעבירות של החזקת נשק</w:t>
      </w:r>
      <w:r>
        <w:rPr>
          <w:rtl w:val="true"/>
        </w:rPr>
        <w:t xml:space="preserve">, </w:t>
      </w:r>
      <w:r>
        <w:rPr>
          <w:rtl w:val="true"/>
        </w:rPr>
        <w:t>נשיאתו והובלתו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 xml:space="preserve">אקדח מסוג תוצרת סטא וכן מחסנית המכילה 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כדורים אשר הוא נשא תחת  לכנף בגדו וכאשר הגיעו השוטרים למקום עבודתו ודרשו לעצרו</w:t>
      </w:r>
      <w:r>
        <w:rPr>
          <w:rtl w:val="true"/>
        </w:rPr>
        <w:t xml:space="preserve">, </w:t>
      </w:r>
      <w:r>
        <w:rPr>
          <w:rtl w:val="true"/>
        </w:rPr>
        <w:t>ניסה להמלט מהמקום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בית המשפט ציין כי מתסקיר שרות המבחן עלה שהנאשם חסר עבר פלילי ובעל רקע נורמטיבי וכן עובד לפרנסתו במסגרת עסק משפחתי</w:t>
      </w:r>
      <w:r>
        <w:rPr>
          <w:rtl w:val="true"/>
        </w:rPr>
        <w:t xml:space="preserve">. </w:t>
      </w:r>
      <w:r>
        <w:rPr>
          <w:rtl w:val="true"/>
        </w:rPr>
        <w:t>כמו גם נטל אחריות על מעשיו</w:t>
      </w:r>
      <w:r>
        <w:rPr>
          <w:rtl w:val="true"/>
        </w:rPr>
        <w:t xml:space="preserve">. </w:t>
      </w:r>
      <w:r>
        <w:rPr>
          <w:rtl w:val="true"/>
        </w:rPr>
        <w:t>הנאשם הפיק לקח מכשלונו ומודע לכשל שנפל בהתנהגותו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בית המשפט הטיל על הנאשם  בין השאר עונש מאסר  בפועל למשך 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אשר ירוצו בעבודות שרות בכפוף לחוות דעת ממונה</w:t>
      </w:r>
      <w:r>
        <w:rPr>
          <w:rtl w:val="true"/>
        </w:rPr>
        <w:t xml:space="preserve">. </w:t>
      </w:r>
      <w:r>
        <w:rPr>
          <w:rtl w:val="true"/>
        </w:rPr>
        <w:t>כמו כן הטיל על הנאשם עונש הצופה פני עתיד וקנס כספי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 xml:space="preserve">הנאשם במקרה שם נשא את הנשק על גופו והורשע בעבירות בניגוד </w:t>
      </w:r>
      <w:hyperlink r:id="rId14">
        <w:r>
          <w:rPr>
            <w:rStyle w:val="Hyperlink"/>
            <w:color w:val="0000FF"/>
            <w:u w:val="single"/>
            <w:rtl w:val="true"/>
          </w:rPr>
          <w:t xml:space="preserve">לסעיף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וסיפא</w:t>
      </w:r>
      <w:r>
        <w:rPr>
          <w:rtl w:val="true"/>
        </w:rPr>
        <w:t xml:space="preserve">,  </w:t>
      </w:r>
      <w:r>
        <w:rPr>
          <w:rtl w:val="true"/>
        </w:rPr>
        <w:t>ו</w:t>
      </w:r>
      <w:r>
        <w:rPr>
          <w:rtl w:val="true"/>
        </w:rPr>
        <w:t xml:space="preserve">-  </w:t>
      </w:r>
      <w:hyperlink r:id="rId15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hyperlink r:id="rId17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 </w:t>
        </w:r>
        <w:r>
          <w:rPr>
            <w:rStyle w:val="Hyperlink"/>
          </w:rPr>
          <w:t>8226/02</w:t>
        </w:r>
      </w:hyperlink>
      <w:r>
        <w:rPr>
          <w:rtl w:val="true"/>
        </w:rPr>
        <w:t xml:space="preserve"> </w:t>
      </w:r>
      <w:r>
        <w:rPr>
          <w:rtl w:val="true"/>
        </w:rPr>
        <w:t>בבית  המשפט המחוזי בבאר שבע אשר הוצג על ידי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הורשע הנאשם על פי הודאתו בעבירות של החזקת נשק שלא  כדין וביצוע  ירי בשטח בנוי</w:t>
      </w:r>
      <w:r>
        <w:rPr>
          <w:rtl w:val="true"/>
        </w:rPr>
        <w:t xml:space="preserve">. </w:t>
      </w:r>
      <w:r>
        <w:rPr>
          <w:rtl w:val="true"/>
        </w:rPr>
        <w:t>גם לנאשם שם היו נסיבות אישיות קלות</w:t>
      </w:r>
      <w:r>
        <w:rPr>
          <w:rtl w:val="true"/>
        </w:rPr>
        <w:t xml:space="preserve">, </w:t>
      </w:r>
      <w:r>
        <w:rPr>
          <w:rtl w:val="true"/>
        </w:rPr>
        <w:t>הנאשם היה בעל אופי נורמטיבי</w:t>
      </w:r>
      <w:r>
        <w:rPr>
          <w:rtl w:val="true"/>
        </w:rPr>
        <w:t xml:space="preserve">, </w:t>
      </w:r>
      <w:r>
        <w:rPr>
          <w:rtl w:val="true"/>
        </w:rPr>
        <w:t xml:space="preserve">בן  </w:t>
      </w:r>
      <w:r>
        <w:rPr/>
        <w:t>38</w:t>
      </w:r>
      <w:r>
        <w:rPr>
          <w:rtl w:val="true"/>
        </w:rPr>
        <w:t xml:space="preserve">, </w:t>
      </w:r>
      <w:r>
        <w:rPr>
          <w:rtl w:val="true"/>
        </w:rPr>
        <w:t xml:space="preserve">נשוי ואב ל  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בעל עבר נקי ותפקוד נורמטיבי</w:t>
      </w:r>
      <w:r>
        <w:rPr>
          <w:rtl w:val="true"/>
        </w:rPr>
        <w:t xml:space="preserve">, </w:t>
      </w:r>
      <w:r>
        <w:rPr>
          <w:rtl w:val="true"/>
        </w:rPr>
        <w:t>כיהן כמורה בבית ספר תיכון והעבירות בהן הורשע נעברו תוך התלהטות רוחות במריבה קשה שפרצה בין בני משפחתו למשפחה יריבה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>הצדדים במקרה שם הגיעו להסדר טעון לפיו המדינה עתרה להטיל על הנאשם  מאסר  למשך חמישה חודשים שירוצה בעבודות שרות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בית המשפט  בשל העובדה שהנאשם היה נתון במסגרת ההליכים במעצר במשך חודשיים ובתנאי מעצר בית מגבילים מחוץ לעירו ולמשפחתו ולעבודתו למשך 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חודשים נוספים</w:t>
      </w:r>
      <w:r>
        <w:rPr>
          <w:rtl w:val="true"/>
        </w:rPr>
        <w:t xml:space="preserve">, </w:t>
      </w:r>
      <w:r>
        <w:rPr>
          <w:rtl w:val="true"/>
        </w:rPr>
        <w:t xml:space="preserve">הטיל על הנאשם מאסר למשך 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 שירוצו בעבודות שרות</w:t>
      </w:r>
      <w:r>
        <w:rPr>
          <w:rtl w:val="true"/>
        </w:rPr>
        <w:t xml:space="preserve">, </w:t>
      </w:r>
      <w:r>
        <w:rPr>
          <w:rtl w:val="true"/>
        </w:rPr>
        <w:t>בכפוף לחוות דעת ממונה ועונש הצופה פני עתיד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color w:val="000000"/>
          <w:rtl w:val="true"/>
        </w:rPr>
        <w:t xml:space="preserve">תיק פלילי  </w:t>
      </w:r>
      <w:r>
        <w:rPr>
          <w:color w:val="000000"/>
        </w:rPr>
        <w:t>1111/04</w:t>
      </w:r>
      <w:r>
        <w:rPr>
          <w:rtl w:val="true"/>
        </w:rPr>
        <w:t xml:space="preserve"> </w:t>
      </w:r>
      <w:r>
        <w:rPr>
          <w:rtl w:val="true"/>
        </w:rPr>
        <w:t>בבית המשפט המחוזי בנצרת</w:t>
      </w:r>
      <w:r>
        <w:rPr>
          <w:rtl w:val="true"/>
        </w:rPr>
        <w:t xml:space="preserve">, </w:t>
      </w:r>
      <w:r>
        <w:rPr>
          <w:rtl w:val="true"/>
        </w:rPr>
        <w:t>אשר הגיש ב</w:t>
      </w:r>
      <w:r>
        <w:rPr>
          <w:rtl w:val="true"/>
        </w:rPr>
        <w:t>"</w:t>
      </w:r>
      <w:r>
        <w:rPr>
          <w:rtl w:val="true"/>
        </w:rPr>
        <w:t>כ הנאשם  הטיל כב</w:t>
      </w:r>
      <w:r>
        <w:rPr>
          <w:rtl w:val="true"/>
        </w:rPr>
        <w:t xml:space="preserve">' </w:t>
      </w:r>
      <w:r>
        <w:rPr>
          <w:rtl w:val="true"/>
        </w:rPr>
        <w:t xml:space="preserve">בית המשפט על נאשם שהורשע בעבירות לפי </w:t>
      </w:r>
      <w:hyperlink r:id="rId18">
        <w:r>
          <w:rPr>
            <w:rStyle w:val="Hyperlink"/>
            <w:color w:val="0000FF"/>
            <w:u w:val="single"/>
            <w:rtl w:val="true"/>
          </w:rPr>
          <w:t xml:space="preserve">סעיף 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רישא וסיפא  </w:t>
      </w:r>
      <w:r>
        <w:rPr>
          <w:rtl w:val="true"/>
        </w:rPr>
        <w:t>+ 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רישא וסיפא</w:t>
      </w:r>
      <w:r>
        <w:rPr>
          <w:rtl w:val="true"/>
        </w:rPr>
        <w:t xml:space="preserve">, </w:t>
      </w:r>
      <w:r>
        <w:rPr>
          <w:rtl w:val="true"/>
        </w:rPr>
        <w:t>וכן בעבירה של תקיפת שוטר ונסיון לתקיפת שוטר</w:t>
      </w:r>
      <w:r>
        <w:rPr>
          <w:rtl w:val="true"/>
        </w:rPr>
        <w:t xml:space="preserve">, </w:t>
      </w:r>
      <w:r>
        <w:rPr>
          <w:rtl w:val="true"/>
        </w:rPr>
        <w:t xml:space="preserve">עונש מאסר למשך 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אשר יומרו בעבודות שרות  וכן עונש הצופה פני עתיד וקנס כספי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 xml:space="preserve">הנאשם שם היה בחור בן  </w:t>
      </w:r>
      <w:r>
        <w:rPr/>
        <w:t>21</w:t>
      </w:r>
      <w:r>
        <w:rPr>
          <w:rtl w:val="true"/>
        </w:rPr>
        <w:t xml:space="preserve">, 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שעבד בעסק משפחתי</w:t>
      </w:r>
      <w:r>
        <w:rPr>
          <w:rtl w:val="true"/>
        </w:rPr>
        <w:t xml:space="preserve">, </w:t>
      </w:r>
      <w:r>
        <w:rPr>
          <w:rtl w:val="true"/>
        </w:rPr>
        <w:t>שהה כחודשיים במעצר ובהמשך במעצר בית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>הנאשם היה מעורב במעשים פליליים עוד מהיותו נער</w:t>
      </w:r>
      <w:r>
        <w:rPr>
          <w:rtl w:val="true"/>
        </w:rPr>
        <w:t xml:space="preserve">, </w:t>
      </w:r>
      <w:r>
        <w:rPr>
          <w:rtl w:val="true"/>
        </w:rPr>
        <w:t>אך מאז עבירתו האחרונה חלפו כשנתיים והרשעותיו הקודמות לא היו כרוכות בשימוש או החזקת נשק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>לפני שרות המבחן נטל הנאשם</w:t>
      </w:r>
      <w:r>
        <w:rPr>
          <w:rtl w:val="true"/>
        </w:rPr>
        <w:t xml:space="preserve">, </w:t>
      </w:r>
      <w:r>
        <w:rPr>
          <w:rtl w:val="true"/>
        </w:rPr>
        <w:t>כפי שעולה מגזר הדין</w:t>
      </w:r>
      <w:r>
        <w:rPr>
          <w:rtl w:val="true"/>
        </w:rPr>
        <w:t xml:space="preserve">, </w:t>
      </w:r>
      <w:r>
        <w:rPr>
          <w:rtl w:val="true"/>
        </w:rPr>
        <w:t>אחריות לעבירות הנשק והתקשה לקחת אחריות  לעבירות של תקיפת שוטרים</w:t>
      </w:r>
      <w:r>
        <w:rPr>
          <w:rtl w:val="true"/>
        </w:rPr>
        <w:t xml:space="preserve">. </w:t>
      </w:r>
      <w:r>
        <w:rPr>
          <w:rtl w:val="true"/>
        </w:rPr>
        <w:t>שרות המבחן לא בא בהמלצה טיפולית</w:t>
      </w:r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בית המשפט ציין בגזר דינו כי הנשק הוחזק להגנה עצמית למשך תקופה לא קצרה מבלי שנעשה בו שימוש פלילי אולם הוחזק במקום נגיש כשהוא טעון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לציין כי בא כח המאשימה הגישה פסקי דין נוספים ובא כח הנאשם הגיש פסקי דין נוספים</w:t>
      </w:r>
      <w:r>
        <w:rPr>
          <w:rtl w:val="true"/>
        </w:rPr>
        <w:t xml:space="preserve">,  </w:t>
      </w:r>
      <w:r>
        <w:rPr>
          <w:rtl w:val="true"/>
        </w:rPr>
        <w:t>בפסקי הדין אשר הגישה  ב</w:t>
      </w:r>
      <w:r>
        <w:rPr>
          <w:rtl w:val="true"/>
        </w:rPr>
        <w:t>"</w:t>
      </w:r>
      <w:r>
        <w:rPr>
          <w:rtl w:val="true"/>
        </w:rPr>
        <w:t xml:space="preserve">כ המאשימה נגזרו  על הנאשמים עונשי מאסר לתקופה של 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 xml:space="preserve">חודשים  ובפסקי הדין אשר הגיש בא כח הנאשם נגזרו על הנאשמים עונשים של מאסר למשך 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 בעבודות שרות בכפוף לחוות דעת ממונה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>כמו כן הציג בא כח הנאשם  גזר דין שהוטל על נאשם  ב</w:t>
      </w:r>
      <w:r>
        <w:rPr>
          <w:color w:val="000000"/>
          <w:rtl w:val="true"/>
        </w:rPr>
        <w:t xml:space="preserve">תיק פלילי   </w:t>
      </w:r>
      <w:r>
        <w:rPr>
          <w:color w:val="000000"/>
        </w:rPr>
        <w:t>1728/03</w:t>
      </w:r>
      <w:r>
        <w:rPr>
          <w:rtl w:val="true"/>
        </w:rPr>
        <w:t xml:space="preserve"> </w:t>
      </w:r>
      <w:r>
        <w:rPr>
          <w:rtl w:val="true"/>
        </w:rPr>
        <w:t>בבית משפט השלום ברחובות</w:t>
      </w:r>
      <w:r>
        <w:rPr>
          <w:rtl w:val="true"/>
        </w:rPr>
        <w:t xml:space="preserve">, </w:t>
      </w:r>
      <w:r>
        <w:rPr>
          <w:rtl w:val="true"/>
        </w:rPr>
        <w:t>נאשם שהודה בעבירות של החזקת נשק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לבנת חבלה במשקל של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 xml:space="preserve">גרם והחזקת סם לצריכה עצמית מסוג קנבוס במשקל של </w:t>
      </w:r>
      <w:r>
        <w:rPr/>
        <w:t>0.95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 xml:space="preserve">הנאשם  שם  היה יליד  </w:t>
      </w:r>
      <w:r>
        <w:rPr/>
        <w:t>1982</w:t>
      </w:r>
      <w:r>
        <w:rPr>
          <w:rtl w:val="true"/>
        </w:rPr>
        <w:t xml:space="preserve"> </w:t>
      </w:r>
      <w:r>
        <w:rPr>
          <w:rtl w:val="true"/>
        </w:rPr>
        <w:t>בעל עבר נקי וחייל בשרות חובה</w:t>
      </w:r>
      <w:r>
        <w:rPr>
          <w:rtl w:val="true"/>
        </w:rPr>
        <w:t xml:space="preserve">,  </w:t>
      </w:r>
      <w:r>
        <w:rPr>
          <w:rtl w:val="true"/>
        </w:rPr>
        <w:t xml:space="preserve">על הנאשם נגזר צו מבחן למשך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חודשים ו –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שעות לבצע עבודות 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  <w:r>
        <w:rPr>
          <w:rtl w:val="true"/>
        </w:rPr>
        <w:t>כמו כן סיים כב</w:t>
      </w:r>
      <w:r>
        <w:rPr>
          <w:rtl w:val="true"/>
        </w:rPr>
        <w:t xml:space="preserve">' </w:t>
      </w:r>
      <w:r>
        <w:rPr>
          <w:rtl w:val="true"/>
        </w:rPr>
        <w:t>בית המשפט את ההליך בעניינו של הנאשם הנ</w:t>
      </w:r>
      <w:r>
        <w:rPr>
          <w:rtl w:val="true"/>
        </w:rPr>
        <w:t>"</w:t>
      </w:r>
      <w:r>
        <w:rPr>
          <w:rtl w:val="true"/>
        </w:rPr>
        <w:t>ל  ללא הרשעה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>בא כח הנאשם הציג גזר דין נוסף  אשר נגזר על נאשם 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.  </w:t>
      </w:r>
      <w:r>
        <w:rPr>
          <w:color w:val="000000"/>
        </w:rPr>
        <w:t>336/01</w:t>
      </w:r>
      <w:r>
        <w:rPr>
          <w:rtl w:val="true"/>
        </w:rPr>
        <w:t xml:space="preserve"> </w:t>
      </w:r>
      <w:r>
        <w:rPr>
          <w:rtl w:val="true"/>
        </w:rPr>
        <w:t>בבית המשפט המחוזי בחיפה שם הורשע הנאשם בהחזקת נשק וציוד לחימה מגוון הכולל רימונים</w:t>
      </w:r>
      <w:r>
        <w:rPr>
          <w:rtl w:val="true"/>
        </w:rPr>
        <w:t xml:space="preserve">, </w:t>
      </w:r>
      <w:r>
        <w:rPr>
          <w:rtl w:val="true"/>
        </w:rPr>
        <w:t>כדורי רובה</w:t>
      </w:r>
      <w:r>
        <w:rPr>
          <w:rtl w:val="true"/>
        </w:rPr>
        <w:t xml:space="preserve">, </w:t>
      </w:r>
      <w:r>
        <w:rPr>
          <w:rtl w:val="true"/>
        </w:rPr>
        <w:t>מחסניות</w:t>
      </w:r>
      <w:r>
        <w:rPr>
          <w:rtl w:val="true"/>
        </w:rPr>
        <w:t xml:space="preserve">, </w:t>
      </w:r>
      <w:r>
        <w:rPr>
          <w:rtl w:val="true"/>
        </w:rPr>
        <w:t>מדים מסוגים שונים וכדומה</w:t>
      </w:r>
      <w:r>
        <w:rPr>
          <w:rtl w:val="true"/>
        </w:rPr>
        <w:t xml:space="preserve">, </w:t>
      </w:r>
      <w:r>
        <w:rPr>
          <w:rtl w:val="true"/>
        </w:rPr>
        <w:t>הנאשם היה קצין במשמר הגבול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בית המשפט  סיים ההליך  בענינו של הנאשם שם ללא הרשעה</w:t>
      </w:r>
      <w:r>
        <w:rPr>
          <w:rtl w:val="true"/>
        </w:rPr>
        <w:t xml:space="preserve">, </w:t>
      </w:r>
      <w:r>
        <w:rPr>
          <w:rtl w:val="true"/>
        </w:rPr>
        <w:t xml:space="preserve">והטיל על הנאשם לבצע עבודות למען הצבור בהיקף של  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באי כח הצדדים הציגו  גזרי דין בעניינם של אחרים וביקשו שאלמד מגזרי הדין לעניין שלפני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>כל מקרה לגופו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>הנאשם שלפני נעדר עבר פלילי</w:t>
      </w:r>
      <w:r>
        <w:rPr>
          <w:rtl w:val="true"/>
        </w:rPr>
        <w:t xml:space="preserve">, </w:t>
      </w:r>
      <w:r>
        <w:rPr>
          <w:rtl w:val="true"/>
        </w:rPr>
        <w:t>ניהל אורח חיים נורמטיבי</w:t>
      </w:r>
      <w:r>
        <w:rPr>
          <w:rtl w:val="true"/>
        </w:rPr>
        <w:t xml:space="preserve">, </w:t>
      </w:r>
      <w:r>
        <w:rPr>
          <w:rtl w:val="true"/>
        </w:rPr>
        <w:t>הביע חרטה</w:t>
      </w:r>
      <w:r>
        <w:rPr>
          <w:rtl w:val="true"/>
        </w:rPr>
        <w:t xml:space="preserve">, </w:t>
      </w:r>
      <w:r>
        <w:rPr>
          <w:rtl w:val="true"/>
        </w:rPr>
        <w:t>הודה וחסך זמן שיפוטי</w:t>
      </w:r>
      <w:r>
        <w:rPr>
          <w:rtl w:val="true"/>
        </w:rPr>
        <w:t xml:space="preserve">, </w:t>
      </w:r>
      <w:r>
        <w:rPr>
          <w:rtl w:val="true"/>
        </w:rPr>
        <w:t>ושרות המבחן המליץ לסיים  את ההליך בעניינו במסגרת עבודות לתועלת הציבור</w:t>
      </w:r>
      <w:r>
        <w:rPr>
          <w:rtl w:val="true"/>
        </w:rPr>
        <w:t xml:space="preserve">, </w:t>
      </w:r>
      <w:r>
        <w:rPr>
          <w:rtl w:val="true"/>
        </w:rPr>
        <w:t>עונש הצופה פני עתיד וקנס כספי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>אינני סבורה כי ניתן חרף העובדה שהנאשם הודה</w:t>
      </w:r>
      <w:r>
        <w:rPr>
          <w:rtl w:val="true"/>
        </w:rPr>
        <w:t xml:space="preserve">, </w:t>
      </w:r>
      <w:r>
        <w:rPr>
          <w:rtl w:val="true"/>
        </w:rPr>
        <w:t>לקח אחריות</w:t>
      </w:r>
      <w:r>
        <w:rPr>
          <w:rtl w:val="true"/>
        </w:rPr>
        <w:t xml:space="preserve">, </w:t>
      </w:r>
      <w:r>
        <w:rPr>
          <w:rtl w:val="true"/>
        </w:rPr>
        <w:t>הביע חרטה ונעדר עבר פלילי</w:t>
      </w:r>
      <w:r>
        <w:rPr>
          <w:rtl w:val="true"/>
        </w:rPr>
        <w:t xml:space="preserve">,  </w:t>
      </w:r>
      <w:r>
        <w:rPr>
          <w:rtl w:val="true"/>
        </w:rPr>
        <w:t>לקבל במקרה הנדון את המלצת שרות המבחן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>הנאשם החזיק מספר כלי נשק  בארון ביתו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אקדחים ותחמושת רבה מסוגים שונים וקוטרים שונים</w:t>
      </w:r>
      <w:r>
        <w:rPr>
          <w:rtl w:val="true"/>
        </w:rPr>
        <w:t xml:space="preserve">, </w:t>
      </w:r>
      <w:r>
        <w:rPr>
          <w:rtl w:val="true"/>
        </w:rPr>
        <w:t>כמו גם הודה הנאשם בכך שכלי הנשק</w:t>
      </w:r>
      <w:r>
        <w:rPr>
          <w:rtl w:val="true"/>
        </w:rPr>
        <w:t xml:space="preserve">, </w:t>
      </w:r>
      <w:r>
        <w:rPr>
          <w:rtl w:val="true"/>
        </w:rPr>
        <w:t xml:space="preserve">האקדח מסוג </w:t>
      </w:r>
      <w:r>
        <w:rPr/>
        <w:t>CZ</w:t>
      </w:r>
      <w:r>
        <w:rPr/>
        <w:t xml:space="preserve">  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מ והאקדח מסוג </w:t>
      </w:r>
      <w:r>
        <w:rPr/>
        <w:t>CZ</w:t>
      </w:r>
      <w:r>
        <w:rPr/>
        <w:t xml:space="preserve"> 7.65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כלי הנשק הגנובים</w:t>
      </w:r>
      <w:r>
        <w:rPr>
          <w:rtl w:val="true"/>
        </w:rPr>
        <w:t xml:space="preserve">, </w:t>
      </w:r>
      <w:r>
        <w:rPr>
          <w:rtl w:val="true"/>
        </w:rPr>
        <w:t>עת נמצאו בביתו נמצאו עם מחסניות תואמות ולכאורה מעובדות כתב האישום לא עלה כי האקדחים נגנבו מבעליהם ביחד עם מחסניות תואמות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לאחר ששקלתי את כל הנדרש לקולא ולחומרה</w:t>
      </w:r>
      <w:r>
        <w:rPr>
          <w:rtl w:val="true"/>
        </w:rPr>
        <w:t xml:space="preserve">,  </w:t>
      </w:r>
      <w:r>
        <w:rPr>
          <w:rtl w:val="true"/>
        </w:rPr>
        <w:t>ולאור נתוניו של הנאשם</w:t>
      </w:r>
      <w:r>
        <w:rPr>
          <w:rtl w:val="true"/>
        </w:rPr>
        <w:t xml:space="preserve">, </w:t>
      </w:r>
      <w:r>
        <w:rPr>
          <w:rtl w:val="true"/>
        </w:rPr>
        <w:t>כמו גם לאור ההלכה הפסוקה והפסיקה</w:t>
      </w:r>
      <w:r>
        <w:rPr>
          <w:rtl w:val="true"/>
        </w:rPr>
        <w:t xml:space="preserve">, </w:t>
      </w:r>
      <w:r>
        <w:rPr>
          <w:rtl w:val="true"/>
        </w:rPr>
        <w:t>והגם שהממונה נתבקש ליתן חוות דעת בעניינו של הנאשם  ומצא את הנאשם כשיר לבצע עבודות שרות</w:t>
      </w:r>
      <w:r>
        <w:rPr>
          <w:rtl w:val="true"/>
        </w:rPr>
        <w:t xml:space="preserve">, </w:t>
      </w:r>
      <w:r>
        <w:rPr>
          <w:rtl w:val="true"/>
        </w:rPr>
        <w:t>אינני סבורה כי ניתן לסיים את עניינו של הנאשם  בנסיבות בהן הנאשם החזיק שלושה כלי נשק שונים</w:t>
      </w:r>
      <w:r>
        <w:rPr>
          <w:rtl w:val="true"/>
        </w:rPr>
        <w:t xml:space="preserve">, </w:t>
      </w:r>
      <w:r>
        <w:rPr>
          <w:rtl w:val="true"/>
        </w:rPr>
        <w:t>לרבות מחסניות תואמות לשני אקדחים</w:t>
      </w:r>
      <w:r>
        <w:rPr>
          <w:rtl w:val="true"/>
        </w:rPr>
        <w:t xml:space="preserve">, </w:t>
      </w:r>
      <w:r>
        <w:rPr>
          <w:rtl w:val="true"/>
        </w:rPr>
        <w:t>לרבות תחמושת רבה מסוגים שונים וקוטרים שונים</w:t>
      </w:r>
      <w:r>
        <w:rPr>
          <w:rtl w:val="true"/>
        </w:rPr>
        <w:t xml:space="preserve">, </w:t>
      </w:r>
      <w:r>
        <w:rPr>
          <w:rtl w:val="true"/>
        </w:rPr>
        <w:t>והגם שלא עשה בהם שימוש</w:t>
      </w:r>
      <w:r>
        <w:rPr>
          <w:rtl w:val="true"/>
        </w:rPr>
        <w:t xml:space="preserve">, </w:t>
      </w:r>
      <w:r>
        <w:rPr>
          <w:rtl w:val="true"/>
        </w:rPr>
        <w:t>מבלי שהנאשם ירצה עונש מאסר בפועל מאחורי סורג ובריח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 xml:space="preserve">לציין כי בהחלטתי מיום  </w:t>
      </w:r>
      <w:r>
        <w:rPr/>
        <w:t>19.4.09</w:t>
      </w:r>
      <w:r>
        <w:rPr>
          <w:rtl w:val="true"/>
        </w:rPr>
        <w:t xml:space="preserve">  </w:t>
      </w:r>
      <w:r>
        <w:rPr>
          <w:rtl w:val="true"/>
        </w:rPr>
        <w:t>עת ביקשתי את הממונה למסור את חוות דעתו</w:t>
      </w:r>
      <w:r>
        <w:rPr>
          <w:rtl w:val="true"/>
        </w:rPr>
        <w:t xml:space="preserve">,   </w:t>
      </w:r>
      <w:r>
        <w:rPr>
          <w:rtl w:val="true"/>
        </w:rPr>
        <w:t>ציינתי כי חוות דעת הממונה מתבקשת על מנת שכל העובדות תהיינה בפני בעת גזירת הדין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סוף דבר</w:t>
      </w:r>
      <w:r>
        <w:rPr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  <w:t>אני גוזרת על הנאשם את העונשים הבאים</w:t>
      </w:r>
      <w:r>
        <w:rPr>
          <w:rtl w:val="true"/>
        </w:rPr>
        <w:t>:</w:t>
      </w:r>
    </w:p>
    <w:p>
      <w:pPr>
        <w:pStyle w:val="Normal"/>
        <w:numPr>
          <w:ilvl w:val="0"/>
          <w:numId w:val="2"/>
        </w:numPr>
        <w:ind w:hanging="720" w:start="1080" w:end="0"/>
        <w:jc w:val="start"/>
        <w:rPr/>
      </w:pPr>
      <w:r>
        <w:rPr>
          <w:rtl w:val="true"/>
        </w:rPr>
        <w:t xml:space="preserve">אני גוזרת על הנאשם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ind w:hanging="720" w:start="1080" w:end="0"/>
        <w:jc w:val="start"/>
        <w:rPr/>
      </w:pPr>
      <w:r>
        <w:rPr>
          <w:rtl w:val="true"/>
        </w:rPr>
        <w:t xml:space="preserve">אני גוזרת על הנאשם מאסר למשך 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אולם הנאשם לא ישא בעונש זה אלא אם בתוך  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מיום שחרורו ממאסרו יעבור עבירות לפי </w:t>
      </w:r>
      <w:hyperlink r:id="rId19">
        <w:r>
          <w:rPr>
            <w:rStyle w:val="Hyperlink"/>
            <w:color w:val="0000FF"/>
            <w:u w:val="single"/>
            <w:rtl w:val="true"/>
          </w:rPr>
          <w:t xml:space="preserve">סעיף 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וסיפא ל</w:t>
      </w:r>
      <w:hyperlink r:id="rId20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ind w:hanging="720" w:start="1080" w:end="0"/>
        <w:jc w:val="start"/>
        <w:rPr/>
      </w:pPr>
      <w:r>
        <w:rPr>
          <w:rtl w:val="true"/>
        </w:rPr>
        <w:t xml:space="preserve">אני גוזרת על הנאשם קנס כספי בסך של  </w:t>
      </w:r>
      <w:r>
        <w:rPr/>
        <w:t>7,000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בתוך 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 xml:space="preserve">הודעה זכות ערעור בתוך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המזכירות תשגר עותק מהחלטתי לממונה על עבודות השרות ולשרות המבחן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 סיון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, </w:t>
      </w:r>
      <w:r>
        <w:rPr>
          <w:vanish/>
          <w:highlight w:val="yellow"/>
          <w:rtl w:val="true"/>
        </w:rPr>
        <w:t>&lt;</w:t>
      </w:r>
      <w:r>
        <w:rPr>
          <w:b/>
          <w:bCs/>
        </w:rPr>
        <w:t>07/06/2009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ליאורה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פרנקל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הסניגור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 מבקש לנכות את ימי המעצר מתקופת המאסר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הנאשם היה עצור מיום ביצוע העבירה עד יום </w:t>
      </w:r>
      <w:r>
        <w:rPr/>
        <w:t>5.8.08</w:t>
      </w:r>
      <w:r>
        <w:rPr>
          <w:rtl w:val="true"/>
        </w:rPr>
        <w:t xml:space="preserve">.  </w:t>
      </w:r>
      <w:r>
        <w:rPr>
          <w:rtl w:val="true"/>
        </w:rPr>
        <w:t>הוא נעצר ביום ביצוע 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התובעת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 צריכה לבדוק במסוף את תקופת המעצר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מתקופת המאסר  תנוכה תקופת המעצר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הצדדים יציגו לפני בית המשפט הודעה  לגבי התקופה בה היה הנאשם נתון במשמורת חוקית בגין הארוע נשוא כתב האישום והתקופה תנוכה מתקופת המאסר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 סיון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, </w:t>
      </w:r>
      <w:r>
        <w:rPr>
          <w:vanish/>
          <w:highlight w:val="yellow"/>
          <w:rtl w:val="true"/>
        </w:rPr>
        <w:t>&lt;</w:t>
      </w:r>
      <w:r>
        <w:rPr>
          <w:b/>
          <w:bCs/>
        </w:rPr>
        <w:t>07/06/2009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ליאורה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פרנקל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הסניגור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יש לי בקשה שניה</w:t>
      </w:r>
      <w:r>
        <w:rPr>
          <w:rtl w:val="true"/>
        </w:rPr>
        <w:t xml:space="preserve">, </w:t>
      </w:r>
      <w:r>
        <w:rPr>
          <w:rtl w:val="true"/>
        </w:rPr>
        <w:t>מדובר בתקופת מאסר לא ארוכה ועל פי ההלכה</w:t>
      </w:r>
      <w:r>
        <w:rPr>
          <w:rtl w:val="true"/>
        </w:rPr>
        <w:t xml:space="preserve">, </w:t>
      </w:r>
      <w:r>
        <w:rPr>
          <w:rtl w:val="true"/>
        </w:rPr>
        <w:t>זאת בדיוק הסיבה בגינה יש מקום ליתן עיכוב ביצוע לצורך הגשת ערעור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התובעת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לתקופה קצרה אנחנו נותיר לשיקול דעת בית 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אני מורה על עיכוב ביצוע גזר הדין עד ליום  </w:t>
      </w:r>
      <w:r>
        <w:rPr/>
        <w:t>15.7.09</w:t>
      </w:r>
      <w:r>
        <w:rPr>
          <w:rtl w:val="true"/>
        </w:rPr>
        <w:t xml:space="preserve">, </w:t>
      </w:r>
      <w:r>
        <w:rPr>
          <w:rtl w:val="true"/>
        </w:rPr>
        <w:t>על מנת לאפשר לנאשם למצות את הליכי הערעור</w:t>
      </w:r>
      <w:r>
        <w:rPr>
          <w:rtl w:val="true"/>
        </w:rPr>
        <w:t xml:space="preserve">, </w:t>
      </w:r>
      <w:r>
        <w:rPr>
          <w:rtl w:val="true"/>
        </w:rPr>
        <w:t xml:space="preserve">בכפוף לכך שהנאשם יפקיד ערבון כספי נוסף בסך של 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 xml:space="preserve">ובנוסף לכך שהנאשם  יחתום על התחיבות עצמית על סך של 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>ואביו יחתום על ערבות צד ג</w:t>
      </w:r>
      <w:r>
        <w:rPr>
          <w:rtl w:val="true"/>
        </w:rPr>
        <w:t xml:space="preserve">' </w:t>
      </w:r>
      <w:r>
        <w:rPr>
          <w:rtl w:val="true"/>
        </w:rPr>
        <w:t xml:space="preserve">על סך של  </w:t>
      </w:r>
      <w:r>
        <w:rPr/>
        <w:t>5,000</w:t>
      </w:r>
      <w:r>
        <w:rPr>
          <w:rtl w:val="true"/>
        </w:rPr>
        <w:t xml:space="preserve"> ₪  </w:t>
      </w:r>
      <w:r>
        <w:rPr>
          <w:rtl w:val="true"/>
        </w:rPr>
        <w:t>ויוצא כנגד הנאשם צו עיכוב יציאה מהארץ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היה וקיים צו עיכוב יציאה מהארץ</w:t>
      </w:r>
      <w:r>
        <w:rPr>
          <w:rtl w:val="true"/>
        </w:rPr>
        <w:t xml:space="preserve">, </w:t>
      </w:r>
      <w:r>
        <w:rPr>
          <w:rtl w:val="true"/>
        </w:rPr>
        <w:t>צו עיכוב היציאה מהארץ יעמוד בתוקפו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הנאשם יתיצב בפני מזכירות בית המשפט לריצוי עונשו ביום  </w:t>
      </w:r>
      <w:r>
        <w:rPr/>
        <w:t>15.7.09</w:t>
      </w:r>
      <w:r>
        <w:rPr>
          <w:rtl w:val="true"/>
        </w:rPr>
        <w:t xml:space="preserve"> </w:t>
      </w:r>
      <w:r>
        <w:rPr>
          <w:rtl w:val="true"/>
        </w:rPr>
        <w:t xml:space="preserve">עד לשעה </w:t>
      </w:r>
      <w:r>
        <w:rPr/>
        <w:t>11:00</w:t>
      </w:r>
      <w:r>
        <w:rPr>
          <w:rtl w:val="true"/>
        </w:rPr>
        <w:t xml:space="preserve"> </w:t>
      </w:r>
      <w:r>
        <w:rPr>
          <w:rtl w:val="true"/>
        </w:rPr>
        <w:t>אלא אם כב</w:t>
      </w:r>
      <w:r>
        <w:rPr>
          <w:rtl w:val="true"/>
        </w:rPr>
        <w:t xml:space="preserve">' </w:t>
      </w:r>
      <w:r>
        <w:rPr>
          <w:rtl w:val="true"/>
        </w:rPr>
        <w:t>בית המשפט המחוזי יחליט אחרת בעניינו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#8#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 סיון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07/06/2009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ליאורה פרנקל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ליאורה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פרנקל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מאיה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שלו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sectPr>
      <w:headerReference w:type="default" r:id="rId21"/>
      <w:footerReference w:type="default" r:id="rId22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/Users/liorb/Downloads/study2025-p2/SH-08-1943-948.doc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1943-08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פרקליטות מחוז המרכז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מגדי אל באבא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1943-08"/>
    <w:docVar w:name="caseId" w:val="12314000"/>
    <w:docVar w:name="deriveClass" w:val="NGCS.Protocol.BL.Client.ProtocolBLClientCriminal"/>
    <w:docVar w:name="firstPageNumber" w:val="1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כולם"/>
    <w:docVar w:name="privellegeId" w:val="1"/>
    <w:docVar w:name="protocolId" w:val="354909"/>
    <w:docVar w:name="releaseSign" w:val="0"/>
    <w:docVar w:name="sittingDateTime" w:val="07/06/2009 11:30     "/>
    <w:docVar w:name="sittingId" w:val="15542097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6z0">
    <w:name w:val="WW8Num6z0"/>
    <w:qFormat/>
    <w:rPr/>
  </w:style>
  <w:style w:type="character" w:styleId="WW8Num8z0">
    <w:name w:val="WW8Num8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6078308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6182877" TargetMode="External"/><Relationship Id="rId12" Type="http://schemas.openxmlformats.org/officeDocument/2006/relationships/hyperlink" Target="http://www.nevo.co.il/case/5724364" TargetMode="External"/><Relationship Id="rId13" Type="http://schemas.openxmlformats.org/officeDocument/2006/relationships/hyperlink" Target="http://www.nevo.co.il/case/275109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2242634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2016-08-14T07:43:00Z</dcterms:created>
  <dc:creator> </dc:creator>
  <dc:description/>
  <cp:keywords/>
  <dc:language>en-IL</dc:language>
  <cp:lastModifiedBy>hofit</cp:lastModifiedBy>
  <cp:lastPrinted>2009-06-07T13:57:00Z</cp:lastPrinted>
  <dcterms:modified xsi:type="dcterms:W3CDTF">2016-08-14T07:43:00Z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המרכז</vt:lpwstr>
  </property>
  <property fmtid="{D5CDD505-2E9C-101B-9397-08002B2CF9AE}" pid="3" name="APPELLEE">
    <vt:lpwstr>מגדי אל באבא</vt:lpwstr>
  </property>
  <property fmtid="{D5CDD505-2E9C-101B-9397-08002B2CF9AE}" pid="4" name="CASESLISTTMP1">
    <vt:lpwstr>6078308;6182877;5724364;275109;2242634</vt:lpwstr>
  </property>
  <property fmtid="{D5CDD505-2E9C-101B-9397-08002B2CF9AE}" pid="5" name="CITY">
    <vt:lpwstr>רמ'</vt:lpwstr>
  </property>
  <property fmtid="{D5CDD505-2E9C-101B-9397-08002B2CF9AE}" pid="6" name="DATE">
    <vt:lpwstr>20090607</vt:lpwstr>
  </property>
  <property fmtid="{D5CDD505-2E9C-101B-9397-08002B2CF9AE}" pid="7" name="DELEMATA">
    <vt:lpwstr/>
  </property>
  <property fmtid="{D5CDD505-2E9C-101B-9397-08002B2CF9AE}" pid="8" name="JUDGE">
    <vt:lpwstr>ליאורה פרנקל</vt:lpwstr>
  </property>
  <property fmtid="{D5CDD505-2E9C-101B-9397-08002B2CF9AE}" pid="9" name="LAWLISTTMP1">
    <vt:lpwstr>70301/144.a:5;144.b:2</vt:lpwstr>
  </property>
  <property fmtid="{D5CDD505-2E9C-101B-9397-08002B2CF9AE}" pid="10" name="LAWYER">
    <vt:lpwstr>אופירה פחימה;אבנון צבי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EWPARTA">
    <vt:lpwstr>1943</vt:lpwstr>
  </property>
  <property fmtid="{D5CDD505-2E9C-101B-9397-08002B2CF9AE}" pid="24" name="NEWPARTB">
    <vt:lpwstr/>
  </property>
  <property fmtid="{D5CDD505-2E9C-101B-9397-08002B2CF9AE}" pid="25" name="NEWPARTC">
    <vt:lpwstr>08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>1943</vt:lpwstr>
  </property>
  <property fmtid="{D5CDD505-2E9C-101B-9397-08002B2CF9AE}" pid="32" name="PROCYEAR">
    <vt:lpwstr>08</vt:lpwstr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380020090607</vt:lpwstr>
  </property>
  <property fmtid="{D5CDD505-2E9C-101B-9397-08002B2CF9AE}" pid="36" name="TYPE_N_DATE">
    <vt:lpwstr>38020090607</vt:lpwstr>
  </property>
  <property fmtid="{D5CDD505-2E9C-101B-9397-08002B2CF9AE}" pid="37" name="VOLUME">
    <vt:lpwstr/>
  </property>
  <property fmtid="{D5CDD505-2E9C-101B-9397-08002B2CF9AE}" pid="38" name="WORDNUMPAGES">
    <vt:lpwstr>8</vt:lpwstr>
  </property>
</Properties>
</file>