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992"/>
        <w:gridCol w:w="4389"/>
        <w:gridCol w:w="908"/>
      </w:tblGrid>
      <w:tr>
        <w:trPr>
          <w:trHeight w:val="195" w:hRule="atLeast"/>
        </w:trPr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001983/04</w:t>
            </w:r>
          </w:p>
        </w:tc>
        <w:tc>
          <w:tcPr>
            <w:tcW w:w="529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רמלה</w:t>
            </w:r>
          </w:p>
        </w:tc>
      </w:tr>
      <w:tr>
        <w:trPr>
          <w:trHeight w:val="195" w:hRule="atLeast"/>
        </w:trPr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8"/>
                <w:szCs w:val="20"/>
              </w:rPr>
            </w:pPr>
            <w:r>
              <w:rPr>
                <w:rFonts w:cs="Times New Roman"/>
                <w:b/>
                <w:bCs/>
                <w:sz w:val="28"/>
                <w:szCs w:val="20"/>
                <w:rtl w:val="true"/>
              </w:rPr>
            </w:r>
          </w:p>
        </w:tc>
        <w:tc>
          <w:tcPr>
            <w:tcW w:w="529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20/12/2004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3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קפלינסקי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לפני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bookmarkStart w:id="3" w:name="FirstLawyer"/>
            <w:bookmarkEnd w:id="3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גילה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עוזיהו</w:t>
            </w:r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ברקי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בעצמו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לשם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גלאור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שושנה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הסתיים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ind w:end="0"/>
        <w:jc w:val="center"/>
        <w:rPr>
          <w:b/>
          <w:bCs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)+(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+</w:t>
      </w:r>
      <w:r>
        <w:rPr/>
        <w:t>31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16" w:name="ABSTRACT_END"/>
      <w:bookmarkEnd w:id="16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tl w:val="true"/>
        </w:rPr>
        <w:t xml:space="preserve">,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15.3.05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: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כלים</w:t>
      </w:r>
      <w:r>
        <w:rPr>
          <w:rtl w:val="true"/>
        </w:rPr>
        <w:t xml:space="preserve">,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51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קפלינסקי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סיגל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טרי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bookmarkStart w:id="19" w:name="Decision1"/>
      <w:bookmarkEnd w:id="1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/Users/liorb/Downloads/study2025-p2/s04001983-539.doc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1983/04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ברקי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2005-04-13T08:42:00Z</dcterms:created>
  <dc:creator> </dc:creator>
  <dc:description/>
  <dc:language>en-IL</dc:language>
  <cp:lastModifiedBy>eli</cp:lastModifiedBy>
  <dcterms:modified xsi:type="dcterms:W3CDTF">2005-04-13T09:04:00Z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ברקי אמרי;גלאור שושנה</vt:lpwstr>
  </property>
  <property fmtid="{D5CDD505-2E9C-101B-9397-08002B2CF9AE}" pid="4" name="CITY">
    <vt:lpwstr>רמ'</vt:lpwstr>
  </property>
  <property fmtid="{D5CDD505-2E9C-101B-9397-08002B2CF9AE}" pid="5" name="DATE">
    <vt:lpwstr>20041220</vt:lpwstr>
  </property>
  <property fmtid="{D5CDD505-2E9C-101B-9397-08002B2CF9AE}" pid="6" name="ISABSTRACT">
    <vt:lpwstr>Y</vt:lpwstr>
  </property>
  <property fmtid="{D5CDD505-2E9C-101B-9397-08002B2CF9AE}" pid="7" name="JUDGE">
    <vt:lpwstr>נ. קפלינסקי</vt:lpwstr>
  </property>
  <property fmtid="{D5CDD505-2E9C-101B-9397-08002B2CF9AE}" pid="8" name="LAWYER">
    <vt:lpwstr>גילה בן עוזיהו;אריאל לשם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1983</vt:lpwstr>
  </property>
  <property fmtid="{D5CDD505-2E9C-101B-9397-08002B2CF9AE}" pid="26" name="PROCYEAR">
    <vt:lpwstr>04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