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 </w:t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850"/>
        <w:gridCol w:w="4678"/>
        <w:gridCol w:w="766"/>
      </w:tblGrid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002886/03</w:t>
            </w:r>
          </w:p>
        </w:tc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רמלה</w:t>
            </w:r>
          </w:p>
        </w:tc>
      </w:tr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  <w:rtl w:val="true"/>
              </w:rPr>
            </w:r>
          </w:p>
        </w:tc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04/05/2004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ליאורה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פרנקל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spacing w:lineRule="auto" w:line="240"/>
              <w:ind w:end="0"/>
              <w:jc w:val="both"/>
              <w:rPr>
                <w:u w:val="none"/>
              </w:rPr>
            </w:pPr>
            <w:bookmarkStart w:id="4" w:name="FirstLawyer"/>
            <w:bookmarkEnd w:id="4"/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הכהן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bookmarkStart w:id="5" w:name="בא_כוח_א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עו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7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אלבנא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חסן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נוכח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6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bookmarkStart w:id="8" w:name="בא_כוח_ב"/>
            <w:bookmarkEnd w:id="8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Heading4"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9" w:name="צד_ג"/>
      <w:bookmarkStart w:id="10" w:name="צד_ג"/>
      <w:bookmarkEnd w:id="10"/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11" w:name="צד_ג"/>
      <w:bookmarkStart w:id="12" w:name="סוג_מסמך"/>
      <w:bookmarkStart w:id="13" w:name="צד_ג"/>
      <w:bookmarkStart w:id="14" w:name="סוג_מסמך"/>
      <w:bookmarkEnd w:id="13"/>
      <w:bookmarkEnd w:id="14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LastJudge"/>
      <w:bookmarkStart w:id="16" w:name="PsakDin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tl w:val="true"/>
        </w:rPr>
        <w:t>.</w:t>
      </w:r>
      <w:bookmarkStart w:id="20" w:name="ABSTRACT_END"/>
      <w:bookmarkEnd w:id="20"/>
    </w:p>
    <w:p>
      <w:pPr>
        <w:pStyle w:val="Normal"/>
        <w:ind w:end="0"/>
        <w:jc w:val="both"/>
        <w:rPr/>
      </w:pP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בקליפת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להריונה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משחשה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 xml:space="preserve">,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1999</w:t>
      </w:r>
      <w:r>
        <w:rPr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.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tl w:val="true"/>
        </w:rPr>
        <w:t xml:space="preserve">.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שמואל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1964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19.8.03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22.1.04</w:t>
      </w:r>
      <w:r>
        <w:rPr>
          <w:rtl w:val="true"/>
        </w:rPr>
        <w:t xml:space="preserve">, </w:t>
      </w:r>
      <w:r>
        <w:rPr>
          <w:rtl w:val="true"/>
        </w:rPr>
        <w:t>בוטל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בגידולה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אונו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tl w:val="true"/>
        </w:rPr>
        <w:t xml:space="preserve">,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 xml:space="preserve">, </w:t>
      </w:r>
      <w:r>
        <w:rPr>
          <w:rtl w:val="true"/>
        </w:rPr>
        <w:t>ואפרט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 </w:t>
      </w:r>
      <w:r>
        <w:rPr>
          <w:rtl w:val="true"/>
        </w:rPr>
        <w:t>יצויין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התגייסה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קפצה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והשאירה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בטובתה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נון</w:t>
      </w:r>
      <w:r>
        <w:rPr>
          <w:rtl w:val="true"/>
        </w:rPr>
        <w:t xml:space="preserve">.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וילדיו</w:t>
      </w:r>
      <w:r>
        <w:rPr>
          <w:rtl w:val="true"/>
        </w:rPr>
        <w:t xml:space="preserve">, </w:t>
      </w:r>
      <w:r>
        <w:rPr>
          <w:rtl w:val="true"/>
        </w:rPr>
        <w:t>ולכאורה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4142/00</w:t>
      </w:r>
      <w:r>
        <w:rPr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r>
        <w:rPr/>
        <w:t>333,334,335,382,381,380,379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bookmarkStart w:id="21" w:name="Decision1"/>
      <w:bookmarkEnd w:id="21"/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שלהערכתנו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גירושין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ההפקדות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1111/99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9147/01</w:t>
      </w:r>
      <w:r>
        <w:rPr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מסויימת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tl w:val="true"/>
        </w:rPr>
        <w:t xml:space="preserve">. </w:t>
      </w:r>
      <w:r>
        <w:rPr>
          <w:rtl w:val="true"/>
        </w:rPr>
        <w:t>הקטגרויה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בשן</w:t>
      </w:r>
      <w:r>
        <w:rPr>
          <w:rtl w:val="true"/>
        </w:rPr>
        <w:t xml:space="preserve">, </w:t>
      </w:r>
      <w:r>
        <w:rPr>
          <w:rtl w:val="true"/>
        </w:rPr>
        <w:t>שהנטייה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לחלופין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2" w:name="Decision2"/>
      <w:bookmarkEnd w:id="22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3.6.04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יתייצב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במזכירות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3.6.04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11:00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עיכוב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המשטרה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3" w:name="Decision1"/>
      <w:bookmarkStart w:id="24" w:name="Decision2"/>
      <w:bookmarkEnd w:id="23"/>
      <w:bookmarkEnd w:id="24"/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/>
        <w:t>2,000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שיוזחרו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יקוזזו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מהסכום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Heading1"/>
        <w:ind w:end="0"/>
        <w:jc w:val="center"/>
        <w:rPr/>
      </w:pPr>
      <w:bookmarkStart w:id="25" w:name="Decision3"/>
      <w:bookmarkEnd w:id="25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הסכום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התייצבותו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ובהסכמת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להפקיד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בנוסף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2886/03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ערבון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דלעיל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באייר</w:t>
      </w:r>
      <w:r>
        <w:rPr>
          <w:rtl w:val="true"/>
        </w:rPr>
        <w:t xml:space="preserve">, </w:t>
      </w:r>
      <w:r>
        <w:rPr>
          <w:rtl w:val="true"/>
        </w:rPr>
        <w:t>תשס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במאי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) 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6" w:name="Decision3"/>
      <w:bookmarkEnd w:id="26"/>
      <w:r>
        <w:rPr>
          <w:rtl w:val="true"/>
        </w:rPr>
        <w:t>הסניגור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7" w:name="Decision4"/>
      <w:bookmarkEnd w:id="27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Cs/>
        </w:rPr>
      </w:pPr>
      <w:r>
        <w:rPr>
          <w:bCs/>
          <w:rtl w:val="true"/>
        </w:rPr>
        <w:t>כמבוקש</w:t>
      </w:r>
      <w:r>
        <w:rPr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28" w:name="Decision4"/>
      <w:bookmarkEnd w:id="28"/>
      <w:r>
        <w:rPr>
          <w:rtl w:val="true"/>
        </w:rPr>
        <w:t>רחל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/>
      </w:pPr>
      <w:bookmarkStart w:id="29" w:name="Decision5"/>
      <w:bookmarkEnd w:id="29"/>
      <w:r>
        <w:rPr>
          <w:rtl w:val="true"/>
        </w:rPr>
        <w:t>החלטה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במשמרתו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החוקית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הערבויות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ליאורה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פרנקל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30" w:name="Decision5"/>
      <w:bookmarkEnd w:id="30"/>
      <w:r>
        <w:rPr>
          <w:rtl w:val="true"/>
        </w:rPr>
        <w:t>רחל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10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/Users/liorb/Downloads/study2025-p2/s03002886-574.doc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2886/03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אלבנא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חסן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 </w:t>
    </w:r>
    <w:r>
      <w:rPr>
        <w:color w:val="000000"/>
        <w:sz w:val="22"/>
        <w:sz w:val="22"/>
        <w:szCs w:val="22"/>
        <w:rtl w:val="true"/>
      </w:rPr>
      <w:t>נוכח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Cs w:val="26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center"/>
      <w:outlineLvl w:val="6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0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1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2004-06-28T06:15:00Z</dcterms:created>
  <dc:creator> </dc:creator>
  <dc:description/>
  <dc:language>en-IL</dc:language>
  <cp:lastModifiedBy>eli</cp:lastModifiedBy>
  <dcterms:modified xsi:type="dcterms:W3CDTF">2004-06-28T10:22:00Z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אלבנא חסן  נוכח</vt:lpwstr>
  </property>
  <property fmtid="{D5CDD505-2E9C-101B-9397-08002B2CF9AE}" pid="4" name="CITY">
    <vt:lpwstr>רמ'</vt:lpwstr>
  </property>
  <property fmtid="{D5CDD505-2E9C-101B-9397-08002B2CF9AE}" pid="5" name="DATE">
    <vt:lpwstr>20040504</vt:lpwstr>
  </property>
  <property fmtid="{D5CDD505-2E9C-101B-9397-08002B2CF9AE}" pid="6" name="ISABSTRACT">
    <vt:lpwstr>Y</vt:lpwstr>
  </property>
  <property fmtid="{D5CDD505-2E9C-101B-9397-08002B2CF9AE}" pid="7" name="JUDGE">
    <vt:lpwstr>ליאורה פרנקל</vt:lpwstr>
  </property>
  <property fmtid="{D5CDD505-2E9C-101B-9397-08002B2CF9AE}" pid="8" name="LAWYER">
    <vt:lpwstr>יוסי הכהן;עמר אלון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2886</vt:lpwstr>
  </property>
  <property fmtid="{D5CDD505-2E9C-101B-9397-08002B2CF9AE}" pid="29" name="PROCYEAR">
    <vt:lpwstr>03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8</vt:lpwstr>
  </property>
</Properties>
</file>