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p>
      <w:pPr>
        <w:pStyle w:val="Normal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6"/>
        <w:gridCol w:w="4978"/>
        <w:gridCol w:w="680"/>
        <w:gridCol w:w="2235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בית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משפט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השלום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רמלה</w:t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פ</w:t>
            </w:r>
            <w:r>
              <w:rPr>
                <w:rFonts w:cs="Times New Roman"/>
                <w:szCs w:val="22"/>
                <w:rtl w:val="true"/>
              </w:rPr>
              <w:t xml:space="preserve">  </w:t>
            </w:r>
            <w:r>
              <w:rPr>
                <w:szCs w:val="22"/>
              </w:rPr>
              <w:t>003848/00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szCs w:val="22"/>
              </w:rPr>
            </w:pPr>
            <w:r>
              <w:rPr>
                <w:szCs w:val="22"/>
              </w:rPr>
            </w:r>
          </w:p>
        </w:tc>
        <w:tc>
          <w:tcPr>
            <w:tcW w:w="291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63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בפני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49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כב</w:t>
            </w:r>
            <w:r>
              <w:rPr>
                <w:szCs w:val="22"/>
                <w:rtl w:val="true"/>
              </w:rPr>
              <w:t xml:space="preserve">' </w:t>
            </w:r>
            <w:r>
              <w:rPr>
                <w:szCs w:val="22"/>
                <w:rtl w:val="true"/>
              </w:rPr>
              <w:t>השופטת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טאובר</w:t>
            </w:r>
            <w:r>
              <w:rPr>
                <w:rFonts w:cs="Times New Roman"/>
                <w:szCs w:val="22"/>
                <w:rtl w:val="true"/>
              </w:rPr>
              <w:t xml:space="preserve"> </w:t>
            </w:r>
            <w:r>
              <w:rPr>
                <w:szCs w:val="22"/>
                <w:rtl w:val="true"/>
              </w:rPr>
              <w:t>רחל</w:t>
            </w:r>
          </w:p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</w:r>
          </w:p>
        </w:tc>
        <w:tc>
          <w:tcPr>
            <w:tcW w:w="6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  <w:rtl w:val="true"/>
              </w:rPr>
              <w:t>תאריך</w:t>
            </w:r>
            <w:r>
              <w:rPr>
                <w:szCs w:val="22"/>
                <w:rtl w:val="true"/>
              </w:rPr>
              <w:t>:</w:t>
            </w:r>
          </w:p>
        </w:tc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szCs w:val="22"/>
              </w:rPr>
            </w:pPr>
            <w:r>
              <w:rPr>
                <w:szCs w:val="22"/>
              </w:rPr>
              <w:t>12/11/2001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Style11"/>
        <w:ind w:end="0"/>
        <w:jc w:val="both"/>
        <w:rPr>
          <w:b w:val="false"/>
          <w:bCs w:val="false"/>
          <w:szCs w:val="20"/>
        </w:rPr>
      </w:pPr>
      <w:r>
        <w:rPr>
          <w:b w:val="false"/>
          <w:bCs w:val="false"/>
          <w:szCs w:val="20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1757"/>
        <w:gridCol w:w="3063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szCs w:val="26"/>
              </w:rPr>
            </w:pPr>
            <w:bookmarkStart w:id="2" w:name="FirstAppellant"/>
            <w:bookmarkEnd w:id="2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>
                <w:sz w:val="24"/>
              </w:rPr>
            </w:pPr>
            <w:bookmarkStart w:id="3" w:name="בא_כוח_א"/>
            <w:bookmarkEnd w:id="3"/>
            <w:r>
              <w:rPr>
                <w:sz w:val="24"/>
                <w:sz w:val="24"/>
                <w:rtl w:val="true"/>
              </w:rPr>
              <w:t>ע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י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ב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כ</w:t>
            </w:r>
            <w:r>
              <w:rPr>
                <w:rFonts w:cs="Times New Roman"/>
                <w:sz w:val="24"/>
                <w:sz w:val="24"/>
                <w:rtl w:val="true"/>
              </w:rPr>
              <w:t xml:space="preserve"> </w:t>
            </w:r>
            <w:r>
              <w:rPr>
                <w:sz w:val="24"/>
                <w:sz w:val="24"/>
                <w:rtl w:val="true"/>
              </w:rPr>
              <w:t>עו</w:t>
            </w:r>
            <w:r>
              <w:rPr>
                <w:sz w:val="24"/>
                <w:rtl w:val="true"/>
              </w:rPr>
              <w:t>"</w:t>
            </w:r>
            <w:r>
              <w:rPr>
                <w:sz w:val="24"/>
                <w:sz w:val="24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4"/>
              </w:rPr>
            </w:pPr>
            <w:r>
              <w:rPr>
                <w:sz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זערור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אברהם</w:t>
            </w:r>
            <w:bookmarkStart w:id="4" w:name="שם_ב"/>
            <w:bookmarkEnd w:id="4"/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נאשם</w:t>
            </w:r>
            <w:r>
              <w:rPr>
                <w:rtl w:val="true"/>
              </w:rPr>
              <w:t>/</w:t>
            </w:r>
            <w:r>
              <w:rPr>
                <w:rtl w:val="true"/>
              </w:rPr>
              <w:t>ת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1757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סודרי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bookmarkStart w:id="7" w:name="בא_כוח_ב"/>
            <w:bookmarkEnd w:id="7"/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8" w:name="LawTable"/>
      <w:bookmarkStart w:id="9" w:name="צד_ג"/>
      <w:bookmarkStart w:id="10" w:name="LawTable"/>
      <w:bookmarkStart w:id="11" w:name="צד_ג"/>
      <w:bookmarkEnd w:id="10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ascii="FrankRuehl" w:hAnsi="FrankRuehl" w:cs="FrankRuehl"/>
          <w:szCs w:val="24"/>
          <w:rtl w:val="true"/>
        </w:rPr>
        <w:t>חקיקה שאוזכרה</w:t>
      </w:r>
      <w:r>
        <w:rPr>
          <w:rFonts w:cs="FrankRuehl" w:ascii="FrankRuehl" w:hAnsi="FrankRuehl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1973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4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ג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1977</w:t>
        </w:r>
      </w:hyperlink>
      <w:r>
        <w:rPr>
          <w:rFonts w:cs="FrankRuehl" w:ascii="FrankRuehl" w:hAnsi="FrankRuehl"/>
          <w:szCs w:val="24"/>
          <w:rtl w:val="true"/>
        </w:rPr>
        <w:t xml:space="preserve">: </w:t>
      </w:r>
      <w:r>
        <w:rPr>
          <w:rFonts w:ascii="FrankRuehl" w:hAnsi="FrankRuehl" w:cs="FrankRuehl"/>
          <w:szCs w:val="24"/>
          <w:rtl w:val="true"/>
        </w:rPr>
        <w:t>סע</w:t>
      </w:r>
      <w:r>
        <w:rPr>
          <w:rFonts w:cs="FrankRuehl" w:ascii="FrankRuehl" w:hAnsi="FrankRuehl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Cs w:val="24"/>
            <w:u w:val="single"/>
          </w:rPr>
          <w:t>412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Cs w:val="24"/>
        </w:rPr>
      </w:pPr>
      <w:r>
        <w:rPr>
          <w:rFonts w:cs="FrankRuehl" w:ascii="FrankRuehl" w:hAnsi="FrankRuehl"/>
          <w:szCs w:val="24"/>
          <w:rtl w:val="true"/>
        </w:rPr>
      </w:r>
      <w:bookmarkStart w:id="12" w:name="LawTable_End"/>
      <w:bookmarkStart w:id="13" w:name="LawTable_End"/>
      <w:bookmarkEnd w:id="13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14" w:name="צד_ג"/>
      <w:bookmarkStart w:id="15" w:name="סוג_מסמך"/>
      <w:bookmarkStart w:id="16" w:name="צד_ג"/>
      <w:bookmarkStart w:id="17" w:name="סוג_מסמך"/>
      <w:bookmarkEnd w:id="16"/>
      <w:bookmarkEnd w:id="17"/>
    </w:p>
    <w:p>
      <w:pPr>
        <w:pStyle w:val="Heading1"/>
        <w:ind w:end="0"/>
        <w:jc w:val="center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Heading1"/>
        <w:ind w:end="0"/>
        <w:jc w:val="center"/>
        <w:rPr>
          <w:u w:val="none"/>
        </w:rPr>
      </w:pPr>
      <w:r>
        <w:rPr>
          <w:u w:val="none"/>
          <w:rtl w:val="true"/>
        </w:rPr>
      </w:r>
    </w:p>
    <w:p>
      <w:pPr>
        <w:pStyle w:val="Heading1"/>
        <w:ind w:end="0"/>
        <w:jc w:val="center"/>
        <w:rPr/>
      </w:pPr>
      <w:bookmarkStart w:id="18" w:name="LastJudge"/>
      <w:bookmarkStart w:id="19" w:name="PsakDin"/>
      <w:bookmarkEnd w:id="18"/>
      <w:bookmarkEnd w:id="19"/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</w:p>
    <w:p>
      <w:pPr>
        <w:pStyle w:val="Heading1"/>
        <w:ind w:end="0"/>
        <w:jc w:val="center"/>
        <w:rPr/>
      </w:pPr>
      <w:r>
        <w:rPr>
          <w:rtl w:val="true"/>
        </w:rPr>
      </w:r>
      <w:bookmarkStart w:id="20" w:name="PsakDin"/>
      <w:bookmarkStart w:id="21" w:name="PsakDin"/>
      <w:bookmarkEnd w:id="21"/>
    </w:p>
    <w:p>
      <w:pPr>
        <w:pStyle w:val="Normal"/>
        <w:ind w:end="0"/>
        <w:jc w:val="both"/>
        <w:rPr/>
      </w:pPr>
      <w:bookmarkStart w:id="22" w:name="ABSTRACT_START"/>
      <w:bookmarkEnd w:id="22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זערור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אברהם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לצריכה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bookmarkStart w:id="23" w:name="ABSTRACT_END"/>
      <w:bookmarkEnd w:id="23"/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8">
        <w:r>
          <w:rPr>
            <w:rStyle w:val="Hyperlink"/>
            <w:b/>
            <w:b/>
            <w:bCs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7</w:t>
        </w:r>
        <w:r>
          <w:rPr>
            <w:rStyle w:val="Hyperlink"/>
            <w:b/>
            <w:bCs/>
            <w:rtl w:val="true"/>
          </w:rPr>
          <w:t xml:space="preserve"> (</w:t>
        </w:r>
        <w:r>
          <w:rPr>
            <w:rStyle w:val="Hyperlink"/>
            <w:b/>
            <w:b/>
            <w:bCs/>
            <w:rtl w:val="true"/>
          </w:rPr>
          <w:t>א</w:t>
        </w:r>
        <w:r>
          <w:rPr>
            <w:rStyle w:val="Hyperlink"/>
            <w:b/>
            <w:bCs/>
            <w:rtl w:val="true"/>
          </w:rPr>
          <w:t>)</w:t>
        </w:r>
      </w:hyperlink>
      <w:r>
        <w:rPr>
          <w:b/>
          <w:bCs/>
          <w:rtl w:val="true"/>
        </w:rPr>
        <w:t xml:space="preserve"> + </w:t>
      </w:r>
      <w:hyperlink r:id="rId9">
        <w:r>
          <w:rPr>
            <w:rStyle w:val="Hyperlink"/>
            <w:b/>
            <w:b/>
            <w:bCs/>
            <w:rtl w:val="true"/>
          </w:rPr>
          <w:t>ג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0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73</w:t>
      </w:r>
      <w:r>
        <w:rPr>
          <w:b/>
          <w:bCs/>
          <w:rtl w:val="true"/>
        </w:rPr>
        <w:t xml:space="preserve">'. 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סעיף</w:t>
      </w:r>
      <w:r>
        <w:rPr>
          <w:rFonts w:cs="Times New Roman"/>
          <w:b/>
          <w:b/>
          <w:bCs/>
          <w:rtl w:val="true"/>
        </w:rPr>
        <w:t xml:space="preserve"> </w:t>
      </w:r>
      <w:hyperlink r:id="rId11">
        <w:r>
          <w:rPr>
            <w:rStyle w:val="Hyperlink"/>
            <w:b/>
            <w:bCs/>
            <w:color w:val="0000FF"/>
            <w:u w:val="single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א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סיפא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2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77</w:t>
      </w:r>
      <w:r>
        <w:rPr>
          <w:b/>
          <w:bCs/>
          <w:rtl w:val="true"/>
        </w:rPr>
        <w:t>'.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שהושג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3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hyperlink r:id="rId14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77</w:t>
      </w:r>
      <w:r>
        <w:rPr>
          <w:b/>
          <w:bCs/>
          <w:rtl w:val="true"/>
        </w:rPr>
        <w:t>'.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ששמעתי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</w:t>
      </w:r>
      <w:r>
        <w:rPr/>
        <w:t>12.3.01</w:t>
      </w:r>
      <w:r>
        <w:rPr>
          <w:rtl w:val="true"/>
        </w:rPr>
        <w:t xml:space="preserve"> </w:t>
      </w:r>
      <w:r>
        <w:rPr>
          <w:rtl w:val="true"/>
        </w:rPr>
        <w:t>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Fonts w:cs="Times New Roman"/>
          <w:rtl w:val="true"/>
        </w:rPr>
        <w:t xml:space="preserve"> </w:t>
      </w:r>
      <w:r>
        <w:rPr/>
        <w:t>10.6.01</w:t>
      </w:r>
      <w:r>
        <w:rPr>
          <w:rtl w:val="true"/>
        </w:rPr>
        <w:t xml:space="preserve"> </w:t>
      </w:r>
      <w:r>
        <w:rPr>
          <w:rtl w:val="true"/>
        </w:rPr>
        <w:t>נבקשתי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 </w:t>
      </w:r>
      <w:r>
        <w:rPr/>
        <w:t>21.10.01</w:t>
      </w:r>
      <w:r>
        <w:rPr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28.10.01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נהיגה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7.4.97</w:t>
      </w:r>
      <w:r>
        <w:rPr>
          <w:rtl w:val="true"/>
        </w:rPr>
        <w:t xml:space="preserve"> ,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ונתבקשתי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מקיומם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ניצנים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". </w:t>
      </w:r>
    </w:p>
    <w:p>
      <w:pPr>
        <w:pStyle w:val="Normal"/>
        <w:ind w:end="0"/>
        <w:jc w:val="both"/>
        <w:rPr/>
      </w:pP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אגרום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ולהאמין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כדלקמן</w:t>
      </w:r>
      <w:r>
        <w:rPr>
          <w:b/>
          <w:bCs/>
          <w:rtl w:val="true"/>
        </w:rPr>
        <w:t>: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בסך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Cs/>
        </w:rPr>
        <w:t>4000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Cs/>
        </w:rPr>
        <w:t>400</w:t>
      </w:r>
      <w:r>
        <w:rPr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ימי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תמורתם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בחלקו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הפקדון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4214/00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והיתרה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1.12.01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/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  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 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15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73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בפיקוח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קצין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מלקבל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ומלהחזיק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רשיון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הפסילה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pBdr>
          <w:bottom w:val="single" w:sz="6" w:space="1" w:color="000000"/>
        </w:pBdr>
        <w:overflowPunct w:val="false"/>
        <w:autoSpaceDE w:val="false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suppressLineNumbers/>
        <w:ind w:end="0"/>
        <w:jc w:val="both"/>
        <w:rPr>
          <w:b/>
          <w:bCs/>
          <w:sz w:val="28"/>
        </w:rPr>
      </w:pPr>
      <w:bookmarkStart w:id="24" w:name="Decision1"/>
      <w:bookmarkEnd w:id="24"/>
      <w:r>
        <w:rPr>
          <w:b/>
          <w:b/>
          <w:bCs/>
          <w:sz w:val="28"/>
          <w:sz w:val="28"/>
          <w:rtl w:val="true"/>
        </w:rPr>
        <w:t>ניתנה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היום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12</w:t>
      </w:r>
      <w:r>
        <w:rPr>
          <w:b/>
          <w:bCs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בנובמבר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Cs/>
          <w:sz w:val="28"/>
        </w:rPr>
        <w:t>2001</w:t>
      </w:r>
      <w:r>
        <w:rPr>
          <w:b/>
          <w:bCs/>
          <w:sz w:val="28"/>
          <w:rtl w:val="true"/>
        </w:rPr>
        <w:t xml:space="preserve">) </w:t>
      </w:r>
      <w:r>
        <w:rPr>
          <w:b/>
          <w:b/>
          <w:bCs/>
          <w:sz w:val="28"/>
          <w:sz w:val="28"/>
          <w:rtl w:val="true"/>
        </w:rPr>
        <w:t>במעמד</w:t>
      </w:r>
      <w:r>
        <w:rPr>
          <w:rFonts w:cs="Times New Roman"/>
          <w:b/>
          <w:b/>
          <w:bCs/>
          <w:sz w:val="28"/>
          <w:sz w:val="28"/>
          <w:rtl w:val="true"/>
        </w:rPr>
        <w:t xml:space="preserve"> </w:t>
      </w:r>
      <w:r>
        <w:rPr>
          <w:b/>
          <w:b/>
          <w:bCs/>
          <w:sz w:val="28"/>
          <w:sz w:val="28"/>
          <w:rtl w:val="true"/>
        </w:rPr>
        <w:t>הצדדים</w:t>
      </w:r>
      <w:r>
        <w:rPr>
          <w:b/>
          <w:bCs/>
          <w:sz w:val="28"/>
          <w:rtl w:val="true"/>
        </w:rPr>
        <w:t>.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טאובר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רחל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54678313-3848/00</w:t>
      </w:r>
    </w:p>
    <w:p>
      <w:pPr>
        <w:pStyle w:val="Normal"/>
        <w:suppressLineNumbers/>
        <w:ind w:end="0"/>
        <w:jc w:val="both"/>
        <w:rPr>
          <w:rFonts w:cs="David"/>
          <w:color w:val="000000"/>
          <w:sz w:val="28"/>
          <w:szCs w:val="22"/>
        </w:rPr>
      </w:pPr>
      <w:r>
        <w:rPr>
          <w:rFonts w:cs="David"/>
          <w:color w:val="000000"/>
          <w:sz w:val="28"/>
          <w:szCs w:val="22"/>
          <w:rtl w:val="true"/>
        </w:rPr>
      </w:r>
    </w:p>
    <w:tbl>
      <w:tblPr>
        <w:tblW w:w="2518" w:type="dxa"/>
        <w:jc w:val="start"/>
        <w:tblInd w:w="601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8"/>
      </w:tblGrid>
      <w:tr>
        <w:trPr/>
        <w:tc>
          <w:tcPr>
            <w:tcW w:w="251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רחל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טאובר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rtl w:val="true"/>
              </w:rPr>
              <w:t xml:space="preserve">, </w:t>
            </w:r>
            <w:r>
              <w:rPr>
                <w:sz w:val="28"/>
                <w:sz w:val="28"/>
                <w:rtl w:val="true"/>
              </w:rPr>
              <w:t>שופטת</w:t>
            </w:r>
          </w:p>
        </w:tc>
      </w:tr>
    </w:tbl>
    <w:p>
      <w:pPr>
        <w:pStyle w:val="1"/>
        <w:ind w:end="0"/>
        <w:jc w:val="start"/>
        <w:rPr>
          <w:color w:val="000000"/>
        </w:rPr>
      </w:pPr>
      <w:bookmarkStart w:id="25" w:name="Decision1"/>
      <w:bookmarkEnd w:id="25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6"/>
      <w:footerReference w:type="default" r:id="rId17"/>
      <w:type w:val="nextPage"/>
      <w:pgSz w:w="12240" w:h="15840"/>
      <w:pgMar w:left="1800" w:right="1800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/Users/liorb/Downloads/study2025-p2/s00003848-3.doc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3848/00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זערור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אברהם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4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both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a" TargetMode="External"/><Relationship Id="rId7" Type="http://schemas.openxmlformats.org/officeDocument/2006/relationships/hyperlink" Target="http://www.nevo.co.il/law/70301/412" TargetMode="External"/><Relationship Id="rId8" Type="http://schemas.openxmlformats.org/officeDocument/2006/relationships/hyperlink" Target="http://www.nevo.co.il/law/4216/7.a" TargetMode="External"/><Relationship Id="rId9" Type="http://schemas.openxmlformats.org/officeDocument/2006/relationships/hyperlink" Target="http://www.nevo.co.il/law/4216/7.c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/144a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12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2018-04-04T08:23:00Z</dcterms:created>
  <dc:creator> </dc:creator>
  <dc:description/>
  <cp:keywords/>
  <dc:language>en-IL</dc:language>
  <cp:lastModifiedBy>run</cp:lastModifiedBy>
  <dcterms:modified xsi:type="dcterms:W3CDTF">2018-04-04T08:23:00Z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זערור אברהם</vt:lpwstr>
  </property>
  <property fmtid="{D5CDD505-2E9C-101B-9397-08002B2CF9AE}" pid="4" name="CASENOTES1">
    <vt:lpwstr>ProcID=25;179&amp;PartA=4214&amp;PartC=00</vt:lpwstr>
  </property>
  <property fmtid="{D5CDD505-2E9C-101B-9397-08002B2CF9AE}" pid="5" name="CITY">
    <vt:lpwstr>רמ'</vt:lpwstr>
  </property>
  <property fmtid="{D5CDD505-2E9C-101B-9397-08002B2CF9AE}" pid="6" name="DATE">
    <vt:lpwstr>20011112</vt:lpwstr>
  </property>
  <property fmtid="{D5CDD505-2E9C-101B-9397-08002B2CF9AE}" pid="7" name="ISABSTRACT">
    <vt:lpwstr>Y</vt:lpwstr>
  </property>
  <property fmtid="{D5CDD505-2E9C-101B-9397-08002B2CF9AE}" pid="8" name="JUDGE">
    <vt:lpwstr>טאובר רחל</vt:lpwstr>
  </property>
  <property fmtid="{D5CDD505-2E9C-101B-9397-08002B2CF9AE}" pid="9" name="LAWLISTTMP1">
    <vt:lpwstr>4216/007.a;007.c</vt:lpwstr>
  </property>
  <property fmtid="{D5CDD505-2E9C-101B-9397-08002B2CF9AE}" pid="10" name="LAWLISTTMP2">
    <vt:lpwstr>70301/144a;412</vt:lpwstr>
  </property>
  <property fmtid="{D5CDD505-2E9C-101B-9397-08002B2CF9AE}" pid="11" name="LAWYER">
    <vt:lpwstr>סודרי קובי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3848</vt:lpwstr>
  </property>
  <property fmtid="{D5CDD505-2E9C-101B-9397-08002B2CF9AE}" pid="29" name="PROCYEAR">
    <vt:lpwstr>00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