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Arial"/>
          <w:b/>
          <w:bCs/>
          <w:sz w:val="26"/>
        </w:rPr>
      </w:pPr>
      <w:bookmarkStart w:id="0" w:name="LastJudge"/>
      <w:bookmarkEnd w:id="0"/>
      <w:r>
        <w:rPr>
          <w:rFonts w:ascii="Arial" w:hAnsi="Arial"/>
          <w:b/>
          <w:b/>
          <w:bCs/>
          <w:sz w:val="26"/>
          <w:sz w:val="26"/>
          <w:rtl w:val="true"/>
        </w:rPr>
        <w:t xml:space="preserve">בתי המשפט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558"/>
        <w:gridCol w:w="1050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 xml:space="preserve">פ  </w:t>
            </w:r>
            <w:r>
              <w:rPr>
                <w:rFonts w:cs="Arial" w:ascii="Arial" w:hAnsi="Arial"/>
                <w:b/>
                <w:bCs/>
                <w:sz w:val="26"/>
              </w:rPr>
              <w:t>003071/04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בית משפט השלום תל אביב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>-</w:t>
            </w: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0"/>
              </w:rPr>
            </w:pPr>
            <w:r>
              <w:rPr>
                <w:rFonts w:cs="Arial" w:ascii="Arial" w:hAnsi="Arial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cs="Arial" w:ascii="Arial" w:hAnsi="Arial"/>
                <w:b/>
                <w:bCs/>
                <w:sz w:val="26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cs="Arial" w:ascii="Arial" w:hAnsi="Arial"/>
                <w:b/>
                <w:bCs/>
                <w:sz w:val="26"/>
              </w:rPr>
              <w:t>21/09/2004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 xml:space="preserve">' </w:t>
            </w: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השופטת שריזלי דניאלה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שקרא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עבדאללה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דיב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מכתב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האישום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גלוש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רמדאן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אוסמה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FirstLawyer"/>
            <w:bookmarkEnd w:id="5"/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6" w:name="בא_כוח_א"/>
            <w:bookmarkEnd w:id="6"/>
            <w:r>
              <w:rPr>
                <w:b/>
                <w:b/>
                <w:bCs/>
                <w:rtl w:val="true"/>
              </w:rPr>
              <w:t>מרינה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טוניצקי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בעצמם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7" w:name="בא_כוח_ב"/>
            <w:bookmarkEnd w:id="7"/>
            <w:r>
              <w:rPr>
                <w:b/>
                <w:b/>
                <w:bCs/>
                <w:rtl w:val="true"/>
              </w:rPr>
              <w:t>איתן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און</w:t>
            </w:r>
          </w:p>
        </w:tc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צד_ג"/>
      <w:bookmarkStart w:id="9" w:name="צד_ג"/>
      <w:bookmarkEnd w:id="9"/>
    </w:p>
    <w:p>
      <w:pPr>
        <w:pStyle w:val="Normal"/>
        <w:spacing w:lineRule="auto" w:line="360"/>
        <w:ind w:end="0"/>
        <w:jc w:val="center"/>
        <w:rPr>
          <w:b/>
          <w:bCs/>
          <w:spacing w:val="140"/>
          <w:sz w:val="32"/>
          <w:szCs w:val="32"/>
        </w:rPr>
      </w:pPr>
      <w:r>
        <w:rPr>
          <w:b/>
          <w:bCs/>
          <w:spacing w:val="140"/>
          <w:sz w:val="32"/>
          <w:szCs w:val="32"/>
          <w:rtl w:val="true"/>
        </w:rPr>
      </w:r>
      <w:bookmarkStart w:id="10" w:name="צד_ג"/>
      <w:bookmarkStart w:id="11" w:name="סוג_מסמך"/>
      <w:bookmarkStart w:id="12" w:name="צד_ג"/>
      <w:bookmarkStart w:id="13" w:name="סוג_מסמך"/>
      <w:bookmarkEnd w:id="12"/>
      <w:bookmarkEnd w:id="13"/>
    </w:p>
    <w:p>
      <w:pPr>
        <w:pStyle w:val="BlockText"/>
        <w:spacing w:lineRule="auto" w:line="480"/>
        <w:ind w:hanging="567" w:start="567" w:end="0"/>
        <w:jc w:val="center"/>
        <w:rPr>
          <w:b/>
          <w:bCs/>
          <w:spacing w:val="140"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rFonts w:cs="Arial"/>
          <w:b/>
          <w:b/>
          <w:bCs/>
          <w:spacing w:val="140"/>
          <w:sz w:val="32"/>
          <w:sz w:val="32"/>
          <w:szCs w:val="32"/>
          <w:u w:val="single"/>
          <w:rtl w:val="true"/>
        </w:rPr>
        <w:t>גזר</w:t>
      </w:r>
      <w:r>
        <w:rPr>
          <w:b/>
          <w:b/>
          <w:bCs/>
          <w:spacing w:val="140"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Arial"/>
          <w:b/>
          <w:b/>
          <w:bCs/>
          <w:spacing w:val="140"/>
          <w:sz w:val="32"/>
          <w:sz w:val="32"/>
          <w:szCs w:val="32"/>
          <w:u w:val="single"/>
          <w:rtl w:val="true"/>
        </w:rPr>
        <w:t>דין</w:t>
      </w:r>
    </w:p>
    <w:p>
      <w:pPr>
        <w:pStyle w:val="BlockText"/>
        <w:spacing w:lineRule="auto" w:line="480"/>
        <w:ind w:hanging="567" w:start="567" w:end="0"/>
        <w:jc w:val="both"/>
        <w:rPr>
          <w:rFonts w:cs="David"/>
          <w:b/>
          <w:bCs/>
          <w:spacing w:val="140"/>
          <w:sz w:val="32"/>
          <w:szCs w:val="32"/>
          <w:u w:val="single"/>
        </w:rPr>
      </w:pPr>
      <w:r>
        <w:rPr>
          <w:rFonts w:cs="David"/>
          <w:b/>
          <w:bCs/>
          <w:spacing w:val="140"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8" w:name="ABSTRACT_START"/>
      <w:bookmarkEnd w:id="18"/>
      <w:r>
        <w:rPr>
          <w:rFonts w:ascii="Arial" w:hAnsi="Arial" w:cs="Arial"/>
          <w:rtl w:val="true"/>
        </w:rPr>
        <w:t>נגד הנאשמים עבדאללה שקרא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גלוש ואוסמה אבו רמאדן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נוסף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מוחמד דיב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כתב בן 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מייחסת לנאשמים שלפניי בכתב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האישום עבירות התפרצות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חבלה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 והחזקת כלי פריצה</w:t>
      </w:r>
      <w:r>
        <w:rPr>
          <w:rFonts w:cs="Arial" w:ascii="Arial" w:hAnsi="Arial"/>
          <w:rtl w:val="true"/>
        </w:rPr>
        <w:t>.</w:t>
      </w:r>
      <w:bookmarkStart w:id="19" w:name="ABSTRACT_END"/>
      <w:bookmarkEnd w:id="19"/>
    </w:p>
    <w:p>
      <w:pPr>
        <w:pStyle w:val="BlockText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מוחמד דיב לא אותר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התביעה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נמחק מכתב האישום</w:t>
      </w:r>
      <w:r>
        <w:rPr>
          <w:rFonts w:cs="Arial" w:ascii="Arial" w:hAnsi="Arial"/>
          <w:rtl w:val="true"/>
        </w:rPr>
        <w:t>.</w:t>
      </w:r>
    </w:p>
    <w:p>
      <w:pPr>
        <w:pStyle w:val="BlockText"/>
        <w:ind w:hanging="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lockText"/>
        <w:ind w:hanging="567" w:start="567" w:end="0"/>
        <w:jc w:val="both"/>
        <w:rPr>
          <w:rFonts w:ascii="Arial" w:hAnsi="Arial" w:cs="Arial"/>
          <w:color w:val="FFFFFF"/>
          <w:sz w:val="4"/>
          <w:szCs w:val="4"/>
        </w:rPr>
      </w:pPr>
      <w:r>
        <w:rPr>
          <w:rFonts w:cs="Arial" w:ascii="Arial" w:hAnsi="Arial"/>
          <w:color w:val="FFFFFF"/>
          <w:sz w:val="4"/>
          <w:szCs w:val="4"/>
          <w:rtl w:val="true"/>
        </w:rPr>
      </w:r>
    </w:p>
    <w:p>
      <w:pPr>
        <w:pStyle w:val="BlockText"/>
        <w:ind w:hanging="567" w:start="567" w:end="0"/>
        <w:jc w:val="both"/>
        <w:rPr>
          <w:rFonts w:ascii="Arial" w:hAnsi="Arial" w:cs="Arial"/>
          <w:color w:val="FFFFFF"/>
          <w:sz w:val="4"/>
          <w:szCs w:val="4"/>
        </w:rPr>
      </w:pPr>
      <w:r>
        <w:rPr>
          <w:rFonts w:cs="Arial" w:ascii="Arial" w:hAnsi="Arial"/>
          <w:color w:val="FFFFFF"/>
          <w:sz w:val="4"/>
          <w:szCs w:val="4"/>
        </w:rPr>
        <w:t>5129371</w:t>
      </w:r>
    </w:p>
    <w:p>
      <w:pPr>
        <w:pStyle w:val="BlockText"/>
        <w:ind w:hanging="567" w:start="567" w:end="0"/>
        <w:jc w:val="both"/>
        <w:rPr/>
      </w:pPr>
      <w:r>
        <w:rPr>
          <w:rFonts w:cs="Arial" w:ascii="Arial" w:hAnsi="Arial"/>
          <w:color w:val="FFFFFF"/>
          <w:sz w:val="4"/>
          <w:szCs w:val="4"/>
        </w:rPr>
        <w:t>5129371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שהוסכם עליו בין הצדדים הודו הנאשמים במיוחס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והורשעו בעבירות האמורות</w:t>
      </w:r>
      <w:r>
        <w:rPr>
          <w:rFonts w:cs="Arial" w:ascii="Arial" w:hAnsi="Arial"/>
          <w:rtl w:val="true"/>
        </w:rPr>
        <w:t>:</w:t>
      </w:r>
    </w:p>
    <w:p>
      <w:pPr>
        <w:pStyle w:val="BlockText"/>
        <w:ind w:hanging="0" w:start="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התפרצות לרכב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413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);</w:t>
      </w:r>
    </w:p>
    <w:p>
      <w:pPr>
        <w:pStyle w:val="BlockText"/>
        <w:ind w:hanging="0" w:start="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413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;</w:t>
      </w:r>
    </w:p>
    <w:p>
      <w:pPr>
        <w:pStyle w:val="BlockText"/>
        <w:ind w:hanging="0" w:start="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פירוק חלקים מרכב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;</w:t>
      </w:r>
    </w:p>
    <w:p>
      <w:pPr>
        <w:pStyle w:val="BlockText"/>
        <w:ind w:hanging="0" w:start="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חבלה במזיד ברכב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413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;</w:t>
      </w:r>
    </w:p>
    <w:p>
      <w:pPr>
        <w:pStyle w:val="BlockText"/>
        <w:ind w:hanging="0" w:start="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החזקת כלי פריצה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409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;</w:t>
      </w:r>
    </w:p>
    <w:p>
      <w:pPr>
        <w:pStyle w:val="BlockText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להסדר הטיעון עתרו הצדדים במשותף להשית על שלושת הנאשמים עונש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הוסכם כי יושת עליהם קנס כספי בנוסף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התביעה נימקה את יחסה המתון לנאשמים בהודייתם המיידית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הממושך שחלף מאז בוצעו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ולגבי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גם בעובדה שריצה תקופת מאסר לא קצרה בגין עבירות דומות אשר ביצע במועדים מאוחרים לאירועים נשוא כתב האישום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8" w:start="568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4</w:t>
      </w:r>
      <w:r>
        <w:rPr>
          <w:rFonts w:cs="Arial" w:ascii="Arial" w:hAnsi="Arial"/>
          <w:szCs w:val="24"/>
          <w:rtl w:val="true"/>
        </w:rPr>
        <w:t>.</w:t>
        <w:tab/>
      </w:r>
      <w:r>
        <w:rPr>
          <w:rFonts w:ascii="Arial" w:hAnsi="Arial"/>
          <w:szCs w:val="24"/>
          <w:rtl w:val="true"/>
        </w:rPr>
        <w:t xml:space="preserve">מעשי הנאשמים בהם הודו והורשעו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חמורים לפי כל קנה מידה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מדובר בשני אירועים שעיקרם עבירות הקשורות ברכב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אשר התרחשו בשני מועדים שונים</w:t>
      </w:r>
      <w:r>
        <w:rPr>
          <w:rFonts w:cs="Arial" w:ascii="Arial" w:hAnsi="Arial"/>
          <w:szCs w:val="24"/>
          <w:rtl w:val="true"/>
        </w:rPr>
        <w:t>: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באירוע האחד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ב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17.4.00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בשעת לילה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התפרצו הנאשמים בצוותא חדא לרכבו של סוליוון מרוין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רכב מדגם אלפא רומאו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בכך שניפצו חלון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נכנסו לרכב וגנבו מתוכו מגבר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רמקולים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טויטרים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מברגים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מקדחה וארגז כלים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באותן נסיבות החזיקו הנאשמים שלא כדין בסכין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באירוע האחר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ב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30.6.01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לפנות בוקר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חבלו הנאשמים בצוותא חדא ברכבו של איגור קושניר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רכב מדגם סובארו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כשפרקו ממנו חלקים</w:t>
      </w:r>
      <w:r>
        <w:rPr>
          <w:rFonts w:cs="Arial" w:ascii="Arial" w:hAnsi="Arial"/>
          <w:szCs w:val="24"/>
          <w:rtl w:val="true"/>
        </w:rPr>
        <w:t xml:space="preserve">: </w:t>
      </w:r>
      <w:r>
        <w:rPr>
          <w:rFonts w:ascii="Arial" w:hAnsi="Arial"/>
          <w:szCs w:val="24"/>
          <w:rtl w:val="true"/>
        </w:rPr>
        <w:t xml:space="preserve">שבכה קדמית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>גריל</w:t>
      </w:r>
      <w:r>
        <w:rPr>
          <w:rFonts w:cs="Arial" w:ascii="Arial" w:hAnsi="Arial"/>
          <w:szCs w:val="24"/>
          <w:rtl w:val="true"/>
        </w:rPr>
        <w:t xml:space="preserve">), </w:t>
      </w:r>
      <w:r>
        <w:rPr>
          <w:rFonts w:ascii="Arial" w:hAnsi="Arial"/>
          <w:szCs w:val="24"/>
          <w:rtl w:val="true"/>
        </w:rPr>
        <w:t>זוג פנסים מחזית הרכב וזוג פנסי איתות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ונטלו אותם במטרה לגונבם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באותן נסיבות החזיקו הנאשמים בכלי פריצה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Normal"/>
        <w:spacing w:lineRule="auto" w:line="360"/>
        <w:ind w:hanging="568" w:start="568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5</w:t>
      </w:r>
      <w:r>
        <w:rPr>
          <w:rFonts w:cs="Arial" w:ascii="Arial" w:hAnsi="Arial"/>
          <w:szCs w:val="24"/>
          <w:rtl w:val="true"/>
        </w:rPr>
        <w:t>.</w:t>
        <w:tab/>
      </w:r>
      <w:r>
        <w:rPr>
          <w:rFonts w:ascii="Arial" w:hAnsi="Arial"/>
          <w:szCs w:val="24"/>
          <w:rtl w:val="true"/>
        </w:rPr>
        <w:t>חומרת המעשים בפגיעה המשמעותית שפגעו הנאשמים בשני מועדים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בשני כלי</w:t>
      </w:r>
      <w:r>
        <w:rPr>
          <w:rFonts w:cs="Arial" w:ascii="Arial" w:hAnsi="Arial"/>
          <w:szCs w:val="24"/>
          <w:rtl w:val="true"/>
        </w:rPr>
        <w:t>-</w:t>
      </w:r>
      <w:r>
        <w:rPr>
          <w:rFonts w:ascii="Arial" w:hAnsi="Arial"/>
          <w:szCs w:val="24"/>
          <w:rtl w:val="true"/>
        </w:rPr>
        <w:t>הרכב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רכושם של אזרחים תמימים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חומרה זו מחייבת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ככלל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נקיטה בענישה הולמת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במיוחד בעבירות רכוש חמורות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הקשורות ברכב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אשר בצדן נזק כבד לאזרחים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תופעה שלצערנו הפכה שכיחה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חומרת המעשים ניזונה גם ממעורבותם הפלילית המכבידה של הנאשמים</w:t>
      </w:r>
      <w:r>
        <w:rPr>
          <w:rFonts w:cs="Arial" w:ascii="Arial" w:hAnsi="Arial"/>
          <w:szCs w:val="24"/>
          <w:rtl w:val="true"/>
        </w:rPr>
        <w:t>: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לחובת 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שקרא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cs="Arial" w:ascii="Arial" w:hAnsi="Arial"/>
          <w:szCs w:val="24"/>
        </w:rPr>
        <w:t>4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הרשעות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 xml:space="preserve">ורישום פלילי אחד 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ללא הרשעה</w:t>
      </w:r>
      <w:r>
        <w:rPr>
          <w:rFonts w:cs="Arial" w:ascii="Arial" w:hAnsi="Arial"/>
          <w:szCs w:val="24"/>
          <w:rtl w:val="true"/>
        </w:rPr>
        <w:t xml:space="preserve">") </w:t>
      </w:r>
      <w:r>
        <w:rPr>
          <w:rFonts w:ascii="Arial" w:hAnsi="Arial"/>
          <w:szCs w:val="24"/>
          <w:rtl w:val="true"/>
        </w:rPr>
        <w:t>בגין עבירות סמים ורכוש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וכן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עבירה של החזקת סכין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בגין הרשעתו האחרונה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בת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 xml:space="preserve">פ </w:t>
      </w:r>
      <w:r>
        <w:rPr>
          <w:rFonts w:cs="Arial" w:ascii="Arial" w:hAnsi="Arial"/>
          <w:szCs w:val="24"/>
        </w:rPr>
        <w:t>4524/03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בבית</w:t>
      </w:r>
      <w:r>
        <w:rPr>
          <w:rFonts w:cs="Arial" w:ascii="Arial" w:hAnsi="Arial"/>
          <w:szCs w:val="24"/>
          <w:rtl w:val="true"/>
        </w:rPr>
        <w:t>-</w:t>
      </w:r>
      <w:r>
        <w:rPr>
          <w:rFonts w:ascii="Arial" w:hAnsi="Arial"/>
          <w:szCs w:val="24"/>
          <w:rtl w:val="true"/>
        </w:rPr>
        <w:t>המשפט השלום בתל</w:t>
      </w:r>
      <w:r>
        <w:rPr>
          <w:rFonts w:cs="Arial" w:ascii="Arial" w:hAnsi="Arial"/>
          <w:szCs w:val="24"/>
          <w:rtl w:val="true"/>
        </w:rPr>
        <w:t>-</w:t>
      </w:r>
      <w:r>
        <w:rPr>
          <w:rFonts w:ascii="Arial" w:hAnsi="Arial"/>
          <w:szCs w:val="24"/>
          <w:rtl w:val="true"/>
        </w:rPr>
        <w:t>אביב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הרשעה מאוחרת למועדי העבירות שבפניי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נדון הנאשם ב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1.5.03</w:t>
      </w:r>
      <w:r>
        <w:rPr>
          <w:rFonts w:cs="Arial" w:ascii="Arial" w:hAnsi="Arial"/>
          <w:szCs w:val="24"/>
          <w:rtl w:val="true"/>
        </w:rPr>
        <w:t xml:space="preserve"> (</w:t>
      </w:r>
      <w:r>
        <w:rPr>
          <w:rFonts w:ascii="Arial" w:hAnsi="Arial"/>
          <w:szCs w:val="24"/>
          <w:rtl w:val="true"/>
        </w:rPr>
        <w:t>בעבירות התפרצות לרכב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פירוק חלקים ממנו וגניבה מתוכו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וכן בגין תקיפה חבלנית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איומים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הפרת הוראה חוקית ועבירות סמים</w:t>
      </w:r>
      <w:r>
        <w:rPr>
          <w:rFonts w:cs="Arial" w:ascii="Arial" w:hAnsi="Arial"/>
          <w:szCs w:val="24"/>
          <w:rtl w:val="true"/>
        </w:rPr>
        <w:t xml:space="preserve">) </w:t>
      </w:r>
      <w:r>
        <w:rPr>
          <w:rFonts w:ascii="Arial" w:hAnsi="Arial"/>
          <w:szCs w:val="24"/>
          <w:rtl w:val="true"/>
        </w:rPr>
        <w:t>ל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21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חודשי מאסר בפועל ולמאסר על תנאי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>ת</w:t>
      </w:r>
      <w:r>
        <w:rPr>
          <w:rFonts w:cs="Arial" w:ascii="Arial" w:hAnsi="Arial"/>
          <w:szCs w:val="24"/>
          <w:rtl w:val="true"/>
        </w:rPr>
        <w:t>/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>).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לחובת הנאשם </w:t>
      </w:r>
      <w:r>
        <w:rPr>
          <w:rFonts w:cs="Arial" w:ascii="Arial" w:hAnsi="Arial"/>
          <w:szCs w:val="24"/>
        </w:rPr>
        <w:t>3</w:t>
      </w:r>
      <w:r>
        <w:rPr>
          <w:rFonts w:cs="Arial" w:ascii="Arial" w:hAnsi="Arial"/>
          <w:szCs w:val="24"/>
          <w:rtl w:val="true"/>
        </w:rPr>
        <w:t xml:space="preserve">,  </w:t>
      </w:r>
      <w:r>
        <w:rPr>
          <w:rFonts w:ascii="Arial" w:hAnsi="Arial"/>
          <w:szCs w:val="24"/>
          <w:rtl w:val="true"/>
        </w:rPr>
        <w:t>גלוש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cs="Arial" w:ascii="Arial" w:hAnsi="Arial"/>
          <w:szCs w:val="24"/>
        </w:rPr>
        <w:t>3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הרשעות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כולן מאוחרות למועד העבירות נשוא כתב האישום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בגין הרשעתו בת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 xml:space="preserve">פ </w:t>
      </w:r>
      <w:r>
        <w:rPr>
          <w:rFonts w:cs="Arial" w:ascii="Arial" w:hAnsi="Arial"/>
          <w:szCs w:val="24"/>
        </w:rPr>
        <w:t>1080/02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בבית</w:t>
      </w:r>
      <w:r>
        <w:rPr>
          <w:rFonts w:cs="Arial" w:ascii="Arial" w:hAnsi="Arial"/>
          <w:szCs w:val="24"/>
          <w:rtl w:val="true"/>
        </w:rPr>
        <w:t>-</w:t>
      </w:r>
      <w:r>
        <w:rPr>
          <w:rFonts w:ascii="Arial" w:hAnsi="Arial"/>
          <w:szCs w:val="24"/>
          <w:rtl w:val="true"/>
        </w:rPr>
        <w:t>המשפט השלום בתל</w:t>
      </w:r>
      <w:r>
        <w:rPr>
          <w:rFonts w:cs="Arial" w:ascii="Arial" w:hAnsi="Arial"/>
          <w:szCs w:val="24"/>
          <w:rtl w:val="true"/>
        </w:rPr>
        <w:t>-</w:t>
      </w:r>
      <w:r>
        <w:rPr>
          <w:rFonts w:ascii="Arial" w:hAnsi="Arial"/>
          <w:szCs w:val="24"/>
          <w:rtl w:val="true"/>
        </w:rPr>
        <w:t>אביב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נדון הנאשם ב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14.4.03</w:t>
      </w:r>
      <w:r>
        <w:rPr>
          <w:rFonts w:cs="Arial" w:ascii="Arial" w:hAnsi="Arial"/>
          <w:szCs w:val="24"/>
          <w:rtl w:val="true"/>
        </w:rPr>
        <w:t xml:space="preserve"> (</w:t>
      </w:r>
      <w:r>
        <w:rPr>
          <w:rFonts w:ascii="Arial" w:hAnsi="Arial"/>
          <w:szCs w:val="24"/>
          <w:rtl w:val="true"/>
        </w:rPr>
        <w:t>בעבירות גרימת חבלות גוף ופציעה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החזקת נשק שלא כדין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וכן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בגין ירי באזור מגורים</w:t>
      </w:r>
      <w:r>
        <w:rPr>
          <w:rFonts w:cs="Arial" w:ascii="Arial" w:hAnsi="Arial"/>
          <w:szCs w:val="24"/>
          <w:rtl w:val="true"/>
        </w:rPr>
        <w:t xml:space="preserve">) </w:t>
      </w:r>
      <w:r>
        <w:rPr>
          <w:rFonts w:ascii="Arial" w:hAnsi="Arial"/>
          <w:szCs w:val="24"/>
          <w:rtl w:val="true"/>
        </w:rPr>
        <w:t>ל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4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שנות מאסר בפועל ולמאסר על תנאי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>ת</w:t>
      </w:r>
      <w:r>
        <w:rPr>
          <w:rFonts w:cs="Arial" w:ascii="Arial" w:hAnsi="Arial"/>
          <w:szCs w:val="24"/>
          <w:rtl w:val="true"/>
        </w:rPr>
        <w:t>/</w:t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  <w:rtl w:val="true"/>
        </w:rPr>
        <w:t xml:space="preserve">). </w:t>
      </w:r>
      <w:r>
        <w:rPr>
          <w:rFonts w:ascii="Arial" w:hAnsi="Arial"/>
          <w:szCs w:val="24"/>
          <w:rtl w:val="true"/>
        </w:rPr>
        <w:t xml:space="preserve">עונש זה מרצה הנאשם </w:t>
      </w:r>
      <w:r>
        <w:rPr>
          <w:rFonts w:cs="Arial" w:ascii="Arial" w:hAnsi="Arial"/>
          <w:szCs w:val="24"/>
        </w:rPr>
        <w:t>3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כיום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לחובת הנאשם </w:t>
      </w:r>
      <w:r>
        <w:rPr>
          <w:rFonts w:cs="Arial" w:ascii="Arial" w:hAnsi="Arial"/>
          <w:szCs w:val="24"/>
        </w:rPr>
        <w:t>4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אבו רמדאן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הרשעות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 xml:space="preserve">ורישום פלילי אחד 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ללא הרשעה</w:t>
      </w:r>
      <w:r>
        <w:rPr>
          <w:rFonts w:cs="Arial" w:ascii="Arial" w:hAnsi="Arial"/>
          <w:szCs w:val="24"/>
          <w:rtl w:val="true"/>
        </w:rPr>
        <w:t xml:space="preserve">"), </w:t>
      </w:r>
      <w:r>
        <w:rPr>
          <w:rFonts w:ascii="Arial" w:hAnsi="Arial"/>
          <w:szCs w:val="24"/>
          <w:rtl w:val="true"/>
        </w:rPr>
        <w:t>בגין תקיפה חבלנית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החזקת רכוש חשוד כגנוב והפרת הוראה חוקית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חלקן מאוחרות למועדי העבירות שבפניי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Normal"/>
        <w:spacing w:lineRule="auto" w:line="360"/>
        <w:ind w:hanging="568" w:start="568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6</w:t>
      </w:r>
      <w:r>
        <w:rPr>
          <w:rFonts w:cs="Arial" w:ascii="Arial" w:hAnsi="Arial"/>
          <w:szCs w:val="24"/>
          <w:rtl w:val="true"/>
        </w:rPr>
        <w:t>.</w:t>
        <w:tab/>
      </w:r>
      <w:r>
        <w:rPr>
          <w:rFonts w:ascii="Arial" w:hAnsi="Arial"/>
          <w:szCs w:val="24"/>
          <w:rtl w:val="true"/>
        </w:rPr>
        <w:t>בנסיבות אלה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סבורה הייתי שראויים הנאשמים לענישה מכבידה שתעביר מסר של הרתעה והוקעה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הסדר הטיעון שהציגו הצדדים מקל עם הנאשמים במידה רבה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וספק בעיני אם מוצדקת כאן גישתה המקלה של התביעה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ובידוע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אין בית המשפט כבול בהסדר הטיעון אליו הגיעו הצדדים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והדבר הובהר מלכתחילה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על 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נטרדה דעתי אם ראוי לאמץ אותו הסדר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/>
          <w:szCs w:val="24"/>
          <w:rtl w:val="true"/>
        </w:rPr>
        <w:t>אולם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לגישת בית המשפט העליון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 xml:space="preserve">שקיבלה צביון מגובש בתאריך </w:t>
      </w:r>
      <w:r>
        <w:rPr>
          <w:rFonts w:cs="Arial" w:ascii="Arial" w:hAnsi="Arial"/>
          <w:sz w:val="22"/>
          <w:szCs w:val="24"/>
        </w:rPr>
        <w:t>25.12.02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בפסק הדין בע</w:t>
      </w:r>
      <w:r>
        <w:rPr>
          <w:rFonts w:cs="Arial" w:ascii="Arial" w:hAnsi="Arial"/>
          <w:sz w:val="22"/>
          <w:szCs w:val="24"/>
          <w:rtl w:val="true"/>
        </w:rPr>
        <w:t>"</w:t>
      </w:r>
      <w:r>
        <w:rPr>
          <w:rFonts w:ascii="Arial" w:hAnsi="Arial"/>
          <w:sz w:val="22"/>
          <w:sz w:val="22"/>
          <w:szCs w:val="24"/>
          <w:rtl w:val="true"/>
        </w:rPr>
        <w:t xml:space="preserve">פ </w:t>
      </w:r>
      <w:r>
        <w:rPr>
          <w:rFonts w:cs="Arial" w:ascii="Arial" w:hAnsi="Arial"/>
          <w:sz w:val="22"/>
          <w:szCs w:val="24"/>
        </w:rPr>
        <w:t>1958/98</w:t>
      </w:r>
      <w:r>
        <w:rPr>
          <w:rFonts w:cs="Arial" w:ascii="Arial" w:hAnsi="Arial"/>
          <w:sz w:val="22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2"/>
          <w:sz w:val="22"/>
          <w:szCs w:val="24"/>
          <w:u w:val="single"/>
          <w:rtl w:val="true"/>
        </w:rPr>
        <w:t>פלוני נ</w:t>
      </w:r>
      <w:r>
        <w:rPr>
          <w:rFonts w:cs="Arial" w:ascii="Arial" w:hAnsi="Arial"/>
          <w:b/>
          <w:bCs/>
          <w:sz w:val="22"/>
          <w:szCs w:val="24"/>
          <w:u w:val="single"/>
          <w:rtl w:val="true"/>
        </w:rPr>
        <w:t xml:space="preserve">' </w:t>
      </w:r>
      <w:r>
        <w:rPr>
          <w:rFonts w:ascii="Arial" w:hAnsi="Arial"/>
          <w:b/>
          <w:b/>
          <w:bCs/>
          <w:sz w:val="22"/>
          <w:sz w:val="22"/>
          <w:szCs w:val="24"/>
          <w:u w:val="single"/>
          <w:rtl w:val="true"/>
        </w:rPr>
        <w:t>מדינת ישראל</w:t>
      </w:r>
      <w:r>
        <w:rPr>
          <w:rFonts w:cs="Arial" w:ascii="Arial" w:hAnsi="Arial"/>
          <w:b/>
          <w:bCs/>
          <w:sz w:val="22"/>
          <w:szCs w:val="24"/>
          <w:u w:val="single"/>
          <w:rtl w:val="true"/>
        </w:rPr>
        <w:t>,</w:t>
      </w:r>
      <w:r>
        <w:rPr>
          <w:rFonts w:cs="Arial" w:ascii="Arial" w:hAnsi="Arial"/>
          <w:sz w:val="22"/>
          <w:szCs w:val="24"/>
          <w:rtl w:val="true"/>
        </w:rPr>
        <w:t xml:space="preserve"> </w:t>
      </w:r>
      <w:r>
        <w:rPr>
          <w:rFonts w:ascii="Arial" w:hAnsi="Arial"/>
          <w:sz w:val="22"/>
          <w:sz w:val="22"/>
          <w:szCs w:val="24"/>
          <w:rtl w:val="true"/>
        </w:rPr>
        <w:t>ראוי לו לבית המשפט להתחשב בהסדר טיעון אליו הגיעו הצדדים ולאמצו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אלא אם כן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אין מתקיים איזון הולם בין האינטרס הציבורי הפרטני והאינטרס הציבורי הרחב שהתביעה מייצגת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מצד אחד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לבין טובת ההנאה שניתנה לנאשם</w:t>
      </w:r>
      <w:r>
        <w:rPr>
          <w:rFonts w:cs="Arial" w:ascii="Arial" w:hAnsi="Arial"/>
          <w:sz w:val="22"/>
          <w:szCs w:val="24"/>
          <w:rtl w:val="true"/>
        </w:rPr>
        <w:t xml:space="preserve">, </w:t>
      </w:r>
      <w:r>
        <w:rPr>
          <w:rFonts w:ascii="Arial" w:hAnsi="Arial"/>
          <w:sz w:val="22"/>
          <w:sz w:val="22"/>
          <w:szCs w:val="24"/>
          <w:rtl w:val="true"/>
        </w:rPr>
        <w:t>מצד שני</w:t>
      </w:r>
      <w:r>
        <w:rPr>
          <w:rFonts w:cs="Arial" w:ascii="Arial" w:hAnsi="Arial"/>
          <w:sz w:val="22"/>
          <w:szCs w:val="24"/>
          <w:rtl w:val="true"/>
        </w:rPr>
        <w:t xml:space="preserve">. </w:t>
      </w:r>
      <w:r>
        <w:rPr>
          <w:rFonts w:ascii="Arial" w:hAnsi="Arial"/>
          <w:sz w:val="22"/>
          <w:sz w:val="22"/>
          <w:szCs w:val="24"/>
          <w:rtl w:val="true"/>
        </w:rPr>
        <w:t>איזון זה עומד בפניי בגזירת דינם של הנאשמים</w:t>
      </w:r>
      <w:r>
        <w:rPr>
          <w:rFonts w:cs="Arial" w:ascii="Arial" w:hAnsi="Arial"/>
          <w:sz w:val="22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hanging="1" w:start="1" w:end="0"/>
        <w:jc w:val="both"/>
        <w:rPr>
          <w:rFonts w:ascii="Arial" w:hAnsi="Arial" w:cs="Arial"/>
          <w:sz w:val="22"/>
          <w:szCs w:val="24"/>
        </w:rPr>
      </w:pPr>
      <w:r>
        <w:rPr>
          <w:rFonts w:cs="Arial" w:ascii="Arial" w:hAnsi="Arial"/>
          <w:sz w:val="22"/>
          <w:szCs w:val="24"/>
          <w:rtl w:val="true"/>
        </w:rPr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בהתחשב אפוא בנסיבות לקולא המשותפות לנאשמים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הזמן הרב שחלף מביצוע העבירות עד להגשת כתב האישום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31.3.04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הודייתם המיידית במיוחס להם והכרתם בחומרת המעשים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בהתחשב גם בנסיבות האישיות של הנאשמים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אחת לאחת בטיעוני הסניגור המלומד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במיוחד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מאסר ממושך שמרצה גלוש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ועונש מאסר ממושך שסיים לרצות שקרא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בהתחשב בטענה שהנאשמים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חזרו למוטב ועובדים לפרנסתם ולכלכלת משפחותיהם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לאמץ את הסדר הטיעון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lockText"/>
        <w:ind w:hanging="567" w:start="567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אני גוזרת על כל אחד מהנאשמים בגין העבירות בהן הורשעו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BlockText"/>
        <w:ind w:hanging="567" w:start="567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שהנאשמים לא יעברו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עבירה לפי הסעיפים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',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',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',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384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ניסיון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שהנאשמים לא יעברו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עבירה לפי הסעיפים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lockText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הנאשמים שקרא ואבו רמדאן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ישלמו כל אחד קנס כספי בסך </w:t>
      </w:r>
      <w:r>
        <w:rPr>
          <w:rFonts w:cs="Arial" w:ascii="Arial" w:hAnsi="Arial"/>
        </w:rPr>
        <w:t>1000</w:t>
      </w:r>
      <w:r>
        <w:rPr>
          <w:rFonts w:cs="Arial" w:ascii="Arial" w:hAnsi="Arial"/>
          <w:rtl w:val="true"/>
        </w:rPr>
        <w:t xml:space="preserve"> ₪.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BlockText"/>
        <w:ind w:hanging="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ישלמו את הקנס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שהראשון בהם בסך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ישולם לקופת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לא יאוחר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1.11.04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וכל תשלום נוסף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לחודש שלאחר מכן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BlockText"/>
        <w:ind w:hanging="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לנאשמים שקרא ואבו רמדאן ערבויות שהופקדו בתיקים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יקוזזו הערבויות מסכום הקנס שקבעתי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BlockText"/>
        <w:ind w:hanging="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עקב מאסרו הממושך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ישא בקנס כספי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BlockText"/>
        <w:ind w:hanging="0" w:start="569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BlockText"/>
        <w:ind w:hanging="0" w:start="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הודע על זכות ערעור משך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Arial"/>
          <w:b/>
          <w:bCs/>
          <w:szCs w:val="24"/>
        </w:rPr>
      </w:pPr>
      <w:r>
        <w:rPr>
          <w:rFonts w:cs="Arial" w:ascii="Arial" w:hAnsi="Arial"/>
          <w:b/>
          <w:bCs/>
          <w:szCs w:val="24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כל פריט רכוש שנתפש בתיקים כמוצג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יוחזר לבעליו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ובהעדר בעלים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יחולט לטובת המדינה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מוצגים שהם כלי פריצה וסכין </w:t>
      </w:r>
      <w:r>
        <w:rPr>
          <w:rFonts w:cs="Arial" w:ascii="Arial" w:hAnsi="Arial"/>
          <w:szCs w:val="24"/>
          <w:rtl w:val="true"/>
        </w:rPr>
        <w:t xml:space="preserve">- </w:t>
      </w:r>
      <w:r>
        <w:rPr>
          <w:rFonts w:ascii="Arial" w:hAnsi="Arial"/>
          <w:szCs w:val="24"/>
          <w:rtl w:val="true"/>
        </w:rPr>
        <w:t>יושמדו</w:t>
      </w:r>
      <w:r>
        <w:rPr>
          <w:rFonts w:cs="Arial" w:ascii="Arial" w:hAnsi="Arial"/>
          <w:szCs w:val="24"/>
          <w:rtl w:val="true"/>
        </w:rPr>
        <w:t>.</w:t>
      </w:r>
      <w:r>
        <w:rPr>
          <w:rFonts w:ascii="Arial" w:hAnsi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20" w:name="Decision1"/>
      <w:bookmarkEnd w:id="20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7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2"/>
      </w:tblGrid>
      <w:tr>
        <w:trPr/>
        <w:tc>
          <w:tcPr>
            <w:tcW w:w="277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שריזלי דניאלה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 xml:space="preserve">, </w:t>
            </w: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bookmarkStart w:id="21" w:name="Decision1"/>
      <w:bookmarkEnd w:id="21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/Users/liorb/Downloads/study2025-p2/s04003071-179.doc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3071/04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שקרא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both"/>
    </w:pPr>
    <w:rPr>
      <w:rFonts w:ascii="Times New Roman" w:hAnsi="Times New Roman" w:eastAsia="Times New Roman" w:cs="Arial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rFonts w:cs="David"/>
      <w:sz w:val="22"/>
      <w:szCs w:val="24"/>
    </w:rPr>
  </w:style>
  <w:style w:type="paragraph" w:styleId="BlockText">
    <w:name w:val="Block Text"/>
    <w:basedOn w:val="Normal"/>
    <w:qFormat/>
    <w:pPr>
      <w:spacing w:lineRule="auto" w:line="360"/>
      <w:ind w:firstLine="1" w:start="-1" w:end="0"/>
      <w:jc w:val="both"/>
      <w:outlineLvl w:val="0"/>
    </w:pPr>
    <w:rPr>
      <w:rFonts w:cs="Times New Roman"/>
      <w:sz w:val="24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2004-09-22T08:22:00Z</dcterms:created>
  <dc:creator> </dc:creator>
  <dc:description/>
  <dc:language>en-IL</dc:language>
  <cp:lastModifiedBy>eli</cp:lastModifiedBy>
  <cp:lastPrinted>2004-09-21T10:22:00Z</cp:lastPrinted>
  <dcterms:modified xsi:type="dcterms:W3CDTF">2004-09-22T08:42:00Z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שקרא עבדאללה;דיב מוחמד;גלוש אחמד;אבו רמדאן אוסמה</vt:lpwstr>
  </property>
  <property fmtid="{D5CDD505-2E9C-101B-9397-08002B2CF9AE}" pid="4" name="CITY">
    <vt:lpwstr>ת"א</vt:lpwstr>
  </property>
  <property fmtid="{D5CDD505-2E9C-101B-9397-08002B2CF9AE}" pid="5" name="DATE">
    <vt:lpwstr>20040921</vt:lpwstr>
  </property>
  <property fmtid="{D5CDD505-2E9C-101B-9397-08002B2CF9AE}" pid="6" name="ISABSTRACT">
    <vt:lpwstr>Y</vt:lpwstr>
  </property>
  <property fmtid="{D5CDD505-2E9C-101B-9397-08002B2CF9AE}" pid="7" name="JUDGE">
    <vt:lpwstr>שריזלי דניאלה</vt:lpwstr>
  </property>
  <property fmtid="{D5CDD505-2E9C-101B-9397-08002B2CF9AE}" pid="8" name="LAWYER">
    <vt:lpwstr>מרינה טוניצקי;איתן און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1">
    <vt:lpwstr/>
  </property>
  <property fmtid="{D5CDD505-2E9C-101B-9397-08002B2CF9AE}" pid="23" name="NOSE12">
    <vt:lpwstr/>
  </property>
  <property fmtid="{D5CDD505-2E9C-101B-9397-08002B2CF9AE}" pid="24" name="NOSE13">
    <vt:lpwstr/>
  </property>
  <property fmtid="{D5CDD505-2E9C-101B-9397-08002B2CF9AE}" pid="25" name="NOSE14">
    <vt:lpwstr/>
  </property>
  <property fmtid="{D5CDD505-2E9C-101B-9397-08002B2CF9AE}" pid="26" name="NOSE21">
    <vt:lpwstr/>
  </property>
  <property fmtid="{D5CDD505-2E9C-101B-9397-08002B2CF9AE}" pid="27" name="NOSE22">
    <vt:lpwstr/>
  </property>
  <property fmtid="{D5CDD505-2E9C-101B-9397-08002B2CF9AE}" pid="28" name="NOSE23">
    <vt:lpwstr/>
  </property>
  <property fmtid="{D5CDD505-2E9C-101B-9397-08002B2CF9AE}" pid="29" name="NOSE24">
    <vt:lpwstr/>
  </property>
  <property fmtid="{D5CDD505-2E9C-101B-9397-08002B2CF9AE}" pid="30" name="NOSE31">
    <vt:lpwstr/>
  </property>
  <property fmtid="{D5CDD505-2E9C-101B-9397-08002B2CF9AE}" pid="31" name="NOSE32">
    <vt:lpwstr/>
  </property>
  <property fmtid="{D5CDD505-2E9C-101B-9397-08002B2CF9AE}" pid="32" name="NOSE33">
    <vt:lpwstr/>
  </property>
  <property fmtid="{D5CDD505-2E9C-101B-9397-08002B2CF9AE}" pid="33" name="NOSE34">
    <vt:lpwstr/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>תפ</vt:lpwstr>
  </property>
  <property fmtid="{D5CDD505-2E9C-101B-9397-08002B2CF9AE}" pid="38" name="PROCNUM">
    <vt:lpwstr>3071</vt:lpwstr>
  </property>
  <property fmtid="{D5CDD505-2E9C-101B-9397-08002B2CF9AE}" pid="39" name="PROCYEAR">
    <vt:lpwstr>04</vt:lpwstr>
  </property>
  <property fmtid="{D5CDD505-2E9C-101B-9397-08002B2CF9AE}" pid="40" name="PSAKDIN">
    <vt:lpwstr>גזר-דין</vt:lpwstr>
  </property>
  <property fmtid="{D5CDD505-2E9C-101B-9397-08002B2CF9AE}" pid="41" name="TYPE">
    <vt:lpwstr>3</vt:lpwstr>
  </property>
  <property fmtid="{D5CDD505-2E9C-101B-9397-08002B2CF9AE}" pid="42" name="VOLUME">
    <vt:lpwstr/>
  </property>
  <property fmtid="{D5CDD505-2E9C-101B-9397-08002B2CF9AE}" pid="43" name="WORDNUMPAGES">
    <vt:lpwstr>4</vt:lpwstr>
  </property>
</Properties>
</file>