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pacing w:val="110"/>
          <w:sz w:val="40"/>
          <w:szCs w:val="40"/>
        </w:rPr>
      </w:pPr>
      <w:bookmarkStart w:id="0" w:name="LastJudge"/>
      <w:bookmarkEnd w:id="0"/>
      <w:r>
        <w:rPr>
          <w:b/>
          <w:b/>
          <w:bCs/>
          <w:spacing w:val="110"/>
          <w:sz w:val="40"/>
          <w:sz w:val="40"/>
          <w:szCs w:val="40"/>
          <w:rtl w:val="true"/>
        </w:rPr>
        <w:t>בתי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  <w:r>
        <w:rPr>
          <w:b/>
          <w:b/>
          <w:bCs/>
          <w:spacing w:val="110"/>
          <w:sz w:val="40"/>
          <w:sz w:val="40"/>
          <w:szCs w:val="40"/>
          <w:rtl w:val="true"/>
        </w:rPr>
        <w:t>המשפט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706"/>
        <w:gridCol w:w="908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040077/05</w:t>
            </w:r>
          </w:p>
        </w:tc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27.9.05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כספי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Style12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3062"/>
        <w:gridCol w:w="2410"/>
        <w:gridCol w:w="1757"/>
        <w:gridCol w:w="1362"/>
      </w:tblGrid>
      <w:tr>
        <w:trPr/>
        <w:tc>
          <w:tcPr>
            <w:tcW w:w="30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בעניין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המאשימה</w:t>
            </w:r>
          </w:p>
        </w:tc>
        <w:tc>
          <w:tcPr>
            <w:tcW w:w="2410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pacing w:lineRule="auto" w:line="240"/>
              <w:ind w:end="0"/>
              <w:jc w:val="center"/>
              <w:rPr>
                <w:szCs w:val="26"/>
              </w:rPr>
            </w:pPr>
            <w:r>
              <w:rPr>
                <w:szCs w:val="26"/>
                <w:rtl w:val="true"/>
              </w:rPr>
              <w:t>נ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ג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סמיר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בן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עזיז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מסראווה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הנאשם</w:t>
            </w:r>
          </w:p>
        </w:tc>
        <w:tc>
          <w:tcPr>
            <w:tcW w:w="2410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2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565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328"/>
        <w:gridCol w:w="237"/>
      </w:tblGrid>
      <w:tr>
        <w:trPr/>
        <w:tc>
          <w:tcPr>
            <w:tcW w:w="8328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bookmarkStart w:id="5" w:name="FirstLawyer"/>
            <w:bookmarkEnd w:id="5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bookmarkStart w:id="6" w:name="בא_כוח_א"/>
            <w:bookmarkEnd w:id="6"/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אלון</w:t>
            </w:r>
          </w:p>
        </w:tc>
        <w:tc>
          <w:tcPr>
            <w:tcW w:w="237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8328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37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8328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bookmarkStart w:id="7" w:name="בא_כוח_ב"/>
            <w:bookmarkEnd w:id="7"/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עוז</w:t>
            </w:r>
          </w:p>
        </w:tc>
        <w:tc>
          <w:tcPr>
            <w:tcW w:w="237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  <w:rtl w:val="true"/>
        </w:rPr>
      </w:r>
      <w:bookmarkStart w:id="8" w:name="סוג_מסמך"/>
      <w:bookmarkStart w:id="9" w:name="סוג_מסמך"/>
      <w:bookmarkEnd w:id="9"/>
    </w:p>
    <w:p>
      <w:pPr>
        <w:pStyle w:val="Normal"/>
        <w:ind w:end="0"/>
        <w:jc w:val="center"/>
        <w:rPr>
          <w:b/>
          <w:bCs/>
          <w:sz w:val="28"/>
          <w:szCs w:val="36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b/>
          <w:b/>
          <w:bCs/>
          <w:sz w:val="28"/>
          <w:sz w:val="28"/>
          <w:szCs w:val="36"/>
          <w:u w:val="single"/>
          <w:rtl w:val="true"/>
        </w:rPr>
        <w:t>גזר</w:t>
      </w:r>
      <w:r>
        <w:rPr>
          <w:b/>
          <w:bCs/>
          <w:sz w:val="28"/>
          <w:szCs w:val="36"/>
          <w:u w:val="single"/>
          <w:rtl w:val="true"/>
        </w:rPr>
        <w:t>-</w:t>
      </w:r>
      <w:r>
        <w:rPr>
          <w:b/>
          <w:b/>
          <w:bCs/>
          <w:sz w:val="28"/>
          <w:sz w:val="28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szCs w:val="28"/>
        </w:rPr>
      </w:pPr>
      <w:bookmarkStart w:id="12" w:name="PsakDin"/>
      <w:bookmarkEnd w:id="12"/>
      <w:r>
        <w:rPr>
          <w:b/>
          <w:b/>
          <w:bCs/>
          <w:szCs w:val="28"/>
          <w:u w:val="single"/>
          <w:rtl w:val="true"/>
        </w:rPr>
        <w:t>ההרשעה</w:t>
      </w:r>
    </w:p>
    <w:p>
      <w:pPr>
        <w:pStyle w:val="Normal"/>
        <w:ind w:end="0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21.3.05</w:t>
      </w:r>
      <w:r>
        <w:rPr>
          <w:rtl w:val="true"/>
        </w:rPr>
        <w:t xml:space="preserve">,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21.3.05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נלכד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ind w:end="0"/>
        <w:jc w:val="both"/>
        <w:rPr>
          <w:szCs w:val="28"/>
        </w:rPr>
      </w:pPr>
      <w:r>
        <w:rPr>
          <w:b/>
          <w:b/>
          <w:bCs/>
          <w:szCs w:val="28"/>
          <w:u w:val="single"/>
          <w:rtl w:val="true"/>
        </w:rPr>
        <w:t>הנסיבות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האישיות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וטיעוני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1983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כחיובי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8.5.05</w:t>
      </w:r>
      <w:r>
        <w:rPr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מצעיר</w:t>
      </w:r>
      <w:r>
        <w:rPr>
          <w:rtl w:val="true"/>
        </w:rPr>
        <w:t xml:space="preserve">,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שהתקשה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בכירים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tl w:val="true"/>
        </w:rPr>
        <w:t xml:space="preserve">, </w:t>
      </w:r>
      <w:r>
        <w:rPr>
          <w:rtl w:val="true"/>
        </w:rPr>
        <w:t>שמתוכן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Cs w:val="28"/>
        </w:rPr>
      </w:pPr>
      <w:r>
        <w:rPr>
          <w:b/>
          <w:b/>
          <w:bCs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u w:val="single"/>
          <w:rtl w:val="true"/>
        </w:rPr>
        <w:t>וברירתם</w:t>
      </w:r>
    </w:p>
    <w:p>
      <w:pPr>
        <w:pStyle w:val="Normal"/>
        <w:ind w:end="0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הבחינות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מטיבה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tl w:val="true"/>
        </w:rPr>
        <w:t xml:space="preserve">,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הידיעה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מכאיב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916/85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670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hyperlink r:id="rId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4507/00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675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".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3289/03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קוממי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78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, 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5620/00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נצרה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2237</w:t>
      </w:r>
      <w:r>
        <w:rPr>
          <w:rtl w:val="true"/>
        </w:rPr>
        <w:t xml:space="preserve">, </w:t>
      </w:r>
      <w:r>
        <w:rPr>
          <w:rtl w:val="true"/>
        </w:rPr>
        <w:t>וב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8540/02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 xml:space="preserve">, </w:t>
      </w:r>
      <w:r>
        <w:rPr/>
        <w:t>101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להווכח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בלעדית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tl w:val="true"/>
        </w:rPr>
        <w:t xml:space="preserve">,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שהזכרתי</w:t>
      </w:r>
      <w:r>
        <w:rPr>
          <w:rtl w:val="true"/>
        </w:rPr>
        <w:t xml:space="preserve">, </w:t>
      </w:r>
      <w:r>
        <w:rPr>
          <w:rtl w:val="true"/>
        </w:rPr>
        <w:t>מוכרע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5356/01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שוורץ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708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3120/04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חזיזה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3036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szCs w:val="28"/>
        </w:rPr>
      </w:pPr>
      <w:r>
        <w:rPr>
          <w:b/>
          <w:b/>
          <w:bCs/>
          <w:szCs w:val="28"/>
          <w:u w:val="single"/>
          <w:rtl w:val="true"/>
        </w:rPr>
        <w:t>הענישה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שהזכרתי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9.10.05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אשמורת</w:t>
      </w:r>
      <w:r>
        <w:rPr>
          <w:rtl w:val="true"/>
        </w:rPr>
        <w:t xml:space="preserve">,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הפתע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16" w:name="Decision1"/>
      <w:bookmarkStart w:id="17" w:name="Decision1"/>
      <w:bookmarkEnd w:id="17"/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זכריה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כספי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54678313-40077/05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37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8" w:name="Decision1"/>
      <w:bookmarkEnd w:id="18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/Users/liorb/Downloads/study2025-p2/m05040077-779.doc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40077/05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סמיר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עזיז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מסראווה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916/85" TargetMode="External"/><Relationship Id="rId4" Type="http://schemas.openxmlformats.org/officeDocument/2006/relationships/hyperlink" Target="http://www.nevo.co.il/links/psika/?link=&#1506;&#1508;%204507/00" TargetMode="External"/><Relationship Id="rId5" Type="http://schemas.openxmlformats.org/officeDocument/2006/relationships/hyperlink" Target="http://www.nevo.co.il/links/psika/?link=&#1506;&#1508;%203289/03" TargetMode="External"/><Relationship Id="rId6" Type="http://schemas.openxmlformats.org/officeDocument/2006/relationships/hyperlink" Target="http://www.nevo.co.il/links/psika/?link=&#1506;&#1508;%205620/00" TargetMode="External"/><Relationship Id="rId7" Type="http://schemas.openxmlformats.org/officeDocument/2006/relationships/hyperlink" Target="http://www.nevo.co.il/links/psika/?link=&#1506;&#1508;%208540/02" TargetMode="External"/><Relationship Id="rId8" Type="http://schemas.openxmlformats.org/officeDocument/2006/relationships/hyperlink" Target="http://www.nevo.co.il/links/psika/?link=&#1512;&#1506;&#1508;%205356/01" TargetMode="External"/><Relationship Id="rId9" Type="http://schemas.openxmlformats.org/officeDocument/2006/relationships/hyperlink" Target="http://www.nevo.co.il/links/psika/?link=&#1506;&#1508;%203120/04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2008-01-20T11:56:00Z</dcterms:created>
  <dc:creator> </dc:creator>
  <dc:description/>
  <dc:language>en-IL</dc:language>
  <cp:lastModifiedBy>Omer</cp:lastModifiedBy>
  <cp:lastPrinted>2005-09-26T13:21:00Z</cp:lastPrinted>
  <dcterms:modified xsi:type="dcterms:W3CDTF">2008-01-23T17:16:00Z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סמיר בן עזיז מסראווה</vt:lpwstr>
  </property>
  <property fmtid="{D5CDD505-2E9C-101B-9397-08002B2CF9AE}" pid="4" name="CITY">
    <vt:lpwstr>ת"א</vt:lpwstr>
  </property>
  <property fmtid="{D5CDD505-2E9C-101B-9397-08002B2CF9AE}" pid="5" name="DATE">
    <vt:lpwstr>20050927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זכריה כספי</vt:lpwstr>
  </property>
  <property fmtid="{D5CDD505-2E9C-101B-9397-08002B2CF9AE}" pid="9" name="LAWYER">
    <vt:lpwstr>א. אלון;א. בר עוז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40077</vt:lpwstr>
  </property>
  <property fmtid="{D5CDD505-2E9C-101B-9397-08002B2CF9AE}" pid="27" name="PROCYEAR">
    <vt:lpwstr>05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TYPE_N_DATE">
    <vt:lpwstr>39020050927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