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  <w:gridCol w:w="1134"/>
        <w:gridCol w:w="4252"/>
        <w:gridCol w:w="908"/>
      </w:tblGrid>
      <w:tr>
        <w:trPr>
          <w:trHeight w:val="195" w:hRule="atLeast"/>
        </w:trPr>
        <w:tc>
          <w:tcPr>
            <w:tcW w:w="336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040094/05</w:t>
            </w:r>
          </w:p>
        </w:tc>
        <w:tc>
          <w:tcPr>
            <w:tcW w:w="5160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יפו</w:t>
            </w:r>
          </w:p>
        </w:tc>
      </w:tr>
      <w:tr>
        <w:trPr>
          <w:trHeight w:val="195" w:hRule="atLeast"/>
        </w:trPr>
        <w:tc>
          <w:tcPr>
            <w:tcW w:w="336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160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86" w:hRule="atLeast"/>
        </w:trPr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23/11/2005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2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כבוב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חאלד</w:t>
            </w:r>
          </w:p>
        </w:tc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</w:tr>
    </w:tbl>
    <w:p>
      <w:pPr>
        <w:pStyle w:val="Style11"/>
        <w:spacing w:lineRule="auto" w:line="240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3488"/>
        <w:gridCol w:w="3741"/>
        <w:gridCol w:w="1362"/>
      </w:tblGrid>
      <w:tr>
        <w:trPr/>
        <w:tc>
          <w:tcPr>
            <w:tcW w:w="3488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3741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</w:tr>
      <w:tr>
        <w:trPr/>
        <w:tc>
          <w:tcPr>
            <w:tcW w:w="3488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sz w:val="24"/>
              </w:rPr>
            </w:pPr>
            <w:bookmarkStart w:id="3" w:name="FirstLawyer"/>
            <w:bookmarkEnd w:id="3"/>
            <w:r>
              <w:rPr>
                <w:sz w:val="24"/>
                <w:sz w:val="24"/>
                <w:rtl w:val="true"/>
              </w:rPr>
              <w:t>המאשימה</w:t>
            </w:r>
          </w:p>
        </w:tc>
        <w:tc>
          <w:tcPr>
            <w:tcW w:w="3741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מירי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כהן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Cs w:val="false"/>
                <w:sz w:val="24"/>
                <w:rtl w:val="true"/>
              </w:rPr>
            </w:r>
          </w:p>
        </w:tc>
      </w:tr>
      <w:tr>
        <w:trPr/>
        <w:tc>
          <w:tcPr>
            <w:tcW w:w="3488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  <w:rtl w:val="true"/>
              </w:rPr>
            </w:r>
          </w:p>
        </w:tc>
        <w:tc>
          <w:tcPr>
            <w:tcW w:w="3741" w:type="dxa"/>
            <w:tcBorders/>
          </w:tcPr>
          <w:p>
            <w:pPr>
              <w:pStyle w:val="Style11"/>
              <w:spacing w:lineRule="auto" w:line="240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3488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3741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יוסי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אזולאי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3488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הנאשם</w:t>
            </w:r>
          </w:p>
        </w:tc>
        <w:tc>
          <w:tcPr>
            <w:tcW w:w="3741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פורר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ועו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שטרן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Cs w:val="false"/>
                <w:sz w:val="24"/>
                <w:rtl w:val="true"/>
              </w:rPr>
            </w:r>
          </w:p>
        </w:tc>
      </w:tr>
    </w:tbl>
    <w:p>
      <w:pPr>
        <w:pStyle w:val="Style11"/>
        <w:spacing w:lineRule="auto" w:line="240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  <w:rtl w:val="true"/>
        </w:rPr>
      </w:r>
      <w:bookmarkStart w:id="6" w:name="סוג_מסמך"/>
      <w:bookmarkStart w:id="7" w:name="סוג_מסמך"/>
      <w:bookmarkEnd w:id="7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8" w:name="LastJudge"/>
      <w:bookmarkStart w:id="9" w:name="סוג_מסמך"/>
      <w:bookmarkStart w:id="10" w:name="PsakDin"/>
      <w:bookmarkEnd w:id="8"/>
      <w:bookmarkEnd w:id="9"/>
      <w:bookmarkEnd w:id="10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Cs/>
          <w:sz w:val="32"/>
          <w:szCs w:val="32"/>
          <w:u w:val="single"/>
          <w:rtl w:val="true"/>
        </w:rPr>
        <w:t xml:space="preserve">-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3" w:name="ABSTRACT_START"/>
      <w:bookmarkEnd w:id="13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: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 xml:space="preserve">,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 </w:t>
      </w:r>
      <w:bookmarkStart w:id="14" w:name="ABSTRACT_END"/>
      <w:bookmarkEnd w:id="14"/>
    </w:p>
    <w:p>
      <w:pPr>
        <w:pStyle w:val="Normal"/>
        <w:tabs>
          <w:tab w:val="clear" w:pos="720"/>
          <w:tab w:val="left" w:pos="746" w:leader="none"/>
        </w:tabs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12/11/04</w:t>
      </w:r>
      <w:r>
        <w:rPr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  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2.6608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746" w:leader="none"/>
        </w:tabs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11/1/05</w:t>
      </w:r>
      <w:r>
        <w:rPr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746" w:leader="none"/>
        </w:tabs>
        <w:ind w:start="720" w:end="0"/>
        <w:jc w:val="both"/>
        <w:rPr/>
      </w:pP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נפצי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פתיל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Normal"/>
        <w:ind w:start="386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>
          <w:u w:val="single"/>
        </w:rPr>
      </w:pP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ריקי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>.</w:t>
      </w:r>
    </w:p>
    <w:p>
      <w:pPr>
        <w:pStyle w:val="BodyTextIndent2"/>
        <w:ind w:start="720" w:end="0"/>
        <w:jc w:val="both"/>
        <w:rPr/>
      </w:pP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תיארו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חרוץ</w:t>
      </w:r>
      <w:r>
        <w:rPr>
          <w:rtl w:val="true"/>
        </w:rPr>
        <w:t xml:space="preserve">,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מצויין</w:t>
      </w:r>
      <w:r>
        <w:rPr>
          <w:rtl w:val="true"/>
        </w:rPr>
        <w:t xml:space="preserve">.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ומוערך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 </w:t>
      </w:r>
    </w:p>
    <w:p>
      <w:pPr>
        <w:pStyle w:val="Normal"/>
        <w:ind w:start="386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start="386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hanging="1" w:start="721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 </w:t>
      </w:r>
    </w:p>
    <w:p>
      <w:pPr>
        <w:pStyle w:val="BlockText"/>
        <w:bidi w:val="1"/>
        <w:ind w:start="720" w:end="0"/>
        <w:jc w:val="both"/>
        <w:rPr/>
      </w:pP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tl w:val="true"/>
        </w:rPr>
        <w:t xml:space="preserve">, 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בהתנדבות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לנזקקים</w:t>
      </w:r>
      <w:r>
        <w:rPr>
          <w:rtl w:val="true"/>
        </w:rPr>
        <w:t xml:space="preserve">. </w:t>
      </w:r>
    </w:p>
    <w:p>
      <w:pPr>
        <w:pStyle w:val="BlockText"/>
        <w:bidi w:val="1"/>
        <w:ind w:start="720" w:end="0"/>
        <w:jc w:val="both"/>
        <w:rPr/>
      </w:pP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והכלכלי</w:t>
      </w:r>
      <w:r>
        <w:rPr>
          <w:rtl w:val="true"/>
        </w:rPr>
        <w:t xml:space="preserve">, </w:t>
      </w:r>
      <w:r>
        <w:rPr>
          <w:rtl w:val="true"/>
        </w:rPr>
        <w:t>מעריך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נחיתות</w:t>
      </w:r>
      <w:r>
        <w:rPr>
          <w:rtl w:val="true"/>
        </w:rPr>
        <w:t>.</w:t>
      </w:r>
    </w:p>
    <w:p>
      <w:pPr>
        <w:pStyle w:val="BlockText"/>
        <w:bidi w:val="1"/>
        <w:ind w:start="720" w:end="0"/>
        <w:jc w:val="both"/>
        <w:rPr/>
      </w:pP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ילדותיים</w:t>
      </w:r>
      <w:r>
        <w:rPr>
          <w:rtl w:val="true"/>
        </w:rPr>
        <w:t xml:space="preserve">,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מוגבלת</w:t>
      </w:r>
      <w:r>
        <w:rPr>
          <w:rtl w:val="true"/>
        </w:rPr>
        <w:t xml:space="preserve">. </w:t>
      </w:r>
    </w:p>
    <w:p>
      <w:pPr>
        <w:pStyle w:val="BlockText"/>
        <w:bidi w:val="1"/>
        <w:ind w:start="386" w:end="0"/>
        <w:jc w:val="both"/>
        <w:rPr/>
      </w:pPr>
      <w:r>
        <w:rPr>
          <w:rtl w:val="true"/>
        </w:rPr>
      </w:r>
    </w:p>
    <w:p>
      <w:pPr>
        <w:pStyle w:val="BlockText"/>
        <w:bidi w:val="1"/>
        <w:ind w:start="720"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.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, </w:t>
      </w:r>
      <w:r>
        <w:rPr>
          <w:rtl w:val="true"/>
        </w:rPr>
        <w:t>הקשרים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ותגובת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זעזוע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</w:p>
    <w:p>
      <w:pPr>
        <w:pStyle w:val="Normal"/>
        <w:ind w:start="386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u w:val="single"/>
        </w:rPr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BodyTextIndent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ועבריינות</w:t>
      </w:r>
      <w:r>
        <w:rPr>
          <w:rtl w:val="true"/>
        </w:rPr>
        <w:t xml:space="preserve">. </w:t>
      </w:r>
    </w:p>
    <w:p>
      <w:pPr>
        <w:pStyle w:val="BodyTextIndent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. </w:t>
      </w:r>
    </w:p>
    <w:p>
      <w:pPr>
        <w:pStyle w:val="Normal"/>
        <w:ind w:start="714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1988</w:t>
      </w:r>
      <w:r>
        <w:rPr>
          <w:rtl w:val="true"/>
        </w:rPr>
        <w:t xml:space="preserve"> </w:t>
      </w:r>
      <w:r>
        <w:rPr>
          <w:rtl w:val="true"/>
        </w:rPr>
        <w:t>והשנייה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  </w:t>
      </w:r>
    </w:p>
    <w:p>
      <w:pPr>
        <w:pStyle w:val="Normal"/>
        <w:ind w:start="714"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מתרועע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ind w:start="714"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בקרוב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</w:p>
    <w:p>
      <w:pPr>
        <w:pStyle w:val="Normal"/>
        <w:ind w:start="714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 </w:t>
      </w:r>
    </w:p>
    <w:p>
      <w:pPr>
        <w:pStyle w:val="BlockText"/>
        <w:bidi w:val="1"/>
        <w:ind w:start="386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</w:p>
    <w:p>
      <w:pPr>
        <w:pStyle w:val="BlockText"/>
        <w:bidi w:val="1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,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, </w:t>
      </w:r>
      <w:r>
        <w:rPr>
          <w:rtl w:val="true"/>
        </w:rPr>
        <w:t>ממשפחה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ותומכת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מלוכדת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ומגוננת</w:t>
      </w:r>
      <w:r>
        <w:rPr>
          <w:rtl w:val="true"/>
        </w:rPr>
        <w:t xml:space="preserve">. </w:t>
      </w:r>
    </w:p>
    <w:p>
      <w:pPr>
        <w:pStyle w:val="BlockText"/>
        <w:bidi w:val="1"/>
        <w:ind w:start="720"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תישנה</w:t>
      </w:r>
      <w:r>
        <w:rPr>
          <w:rtl w:val="true"/>
        </w:rPr>
        <w:t xml:space="preserve">.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והנגרר</w:t>
      </w:r>
      <w:r>
        <w:rPr>
          <w:rtl w:val="true"/>
        </w:rPr>
        <w:t xml:space="preserve">, </w:t>
      </w:r>
      <w:r>
        <w:rPr>
          <w:rtl w:val="true"/>
        </w:rPr>
        <w:t>בשילוב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ונפשי</w:t>
      </w:r>
      <w:r>
        <w:rPr>
          <w:rtl w:val="true"/>
        </w:rPr>
        <w:t xml:space="preserve">. </w:t>
      </w:r>
    </w:p>
    <w:p>
      <w:pPr>
        <w:pStyle w:val="BlockText"/>
        <w:bidi w:val="1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נחוץ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BlockText"/>
        <w:bidi w:val="1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tl w:val="true"/>
        </w:rPr>
        <w:t xml:space="preserve">). </w:t>
      </w:r>
    </w:p>
    <w:p>
      <w:pPr>
        <w:pStyle w:val="BlockText"/>
        <w:bidi w:val="1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ויקרים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מתעתד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מוקפדת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ממשקלה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BlockText"/>
        <w:bidi w:val="1"/>
        <w:ind w:start="386" w:end="0"/>
        <w:jc w:val="both"/>
        <w:rPr/>
      </w:pPr>
      <w:r>
        <w:rPr>
          <w:rtl w:val="true"/>
        </w:rPr>
      </w:r>
    </w:p>
    <w:p>
      <w:pPr>
        <w:pStyle w:val="BlockText"/>
        <w:bidi w:val="1"/>
        <w:ind w:start="720"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BlockText"/>
        <w:bidi w:val="1"/>
        <w:ind w:start="386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העוברים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ארגוני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והרג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והחזקתו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4526/04</w:t>
      </w:r>
      <w:r>
        <w:rPr>
          <w:rtl w:val="true"/>
        </w:rPr>
        <w:t xml:space="preserve"> </w:t>
      </w:r>
      <w:r>
        <w:rPr>
          <w:rtl w:val="true"/>
        </w:rPr>
        <w:t>זעטרי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נעלמו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הקרובה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וילדיו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זוהי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לוואי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נמנעת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להרפתקה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בבואנו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10499/02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אלמוג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הפרודוקטיבי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בפונטציה</w:t>
      </w:r>
      <w:r>
        <w:rPr>
          <w:rtl w:val="true"/>
        </w:rPr>
        <w:t xml:space="preserve">, </w:t>
      </w:r>
      <w:r>
        <w:rPr>
          <w:rtl w:val="true"/>
        </w:rPr>
        <w:t>ולהעביר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שהופעלו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קייסי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והמלצה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העיסקה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קפלן</w:t>
      </w:r>
      <w:r>
        <w:rPr>
          <w:rtl w:val="true"/>
        </w:rPr>
        <w:t>-</w:t>
      </w:r>
      <w:r>
        <w:rPr>
          <w:rtl w:val="true"/>
        </w:rPr>
        <w:t>הגלר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והשלישי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</w:t>
      </w:r>
      <w:r>
        <w:rPr>
          <w:rtl w:val="true"/>
        </w:rPr>
        <w:t xml:space="preserve">, </w:t>
      </w:r>
      <w:r>
        <w:rPr>
          <w:rtl w:val="true"/>
        </w:rPr>
        <w:t>נפצי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פתיל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tl w:val="true"/>
        </w:rPr>
        <w:t xml:space="preserve">, </w:t>
      </w:r>
      <w:r>
        <w:rPr>
          <w:rtl w:val="true"/>
        </w:rPr>
        <w:t>מצתים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וטבעם</w:t>
      </w:r>
      <w:r>
        <w:rPr>
          <w:rtl w:val="true"/>
        </w:rPr>
        <w:t xml:space="preserve">, </w:t>
      </w:r>
      <w:r>
        <w:rPr>
          <w:rtl w:val="true"/>
        </w:rPr>
        <w:t>פגיעתם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אובייקטיבים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tl w:val="true"/>
        </w:rPr>
        <w:t xml:space="preserve">, </w:t>
      </w:r>
      <w:r>
        <w:rPr>
          <w:rtl w:val="true"/>
        </w:rPr>
        <w:t>ולעתים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ומשפחתיות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ומעסיקיו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2839/05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17.11.05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אדמונד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8012/04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16.11.05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).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ונתתי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),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bookmarkStart w:id="15" w:name="Decision1"/>
      <w:bookmarkEnd w:id="15"/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בנובמבר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כבוב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חאלד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54678313-40094/05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212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6"/>
      </w:tblGrid>
      <w:tr>
        <w:trPr/>
        <w:tc>
          <w:tcPr>
            <w:tcW w:w="212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כבוב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חאלד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16" w:name="Decision1"/>
      <w:bookmarkEnd w:id="16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9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/Users/liorb/Downloads/study2025-p2/m05040094-617.doc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40094/05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יוסי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אזולאי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end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rFonts w:cs="Times New Roman"/>
      <w:b/>
      <w:bCs/>
      <w:sz w:val="32"/>
      <w:szCs w:val="32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714" w:end="0"/>
      <w:jc w:val="start"/>
    </w:pPr>
    <w:rPr>
      <w:sz w:val="24"/>
    </w:rPr>
  </w:style>
  <w:style w:type="paragraph" w:styleId="Subtitle">
    <w:name w:val="Subtitle"/>
    <w:basedOn w:val="Normal"/>
    <w:next w:val="BodyText"/>
    <w:qFormat/>
    <w:pPr>
      <w:spacing w:lineRule="auto" w:line="240"/>
      <w:ind w:hanging="0" w:start="0" w:end="0"/>
      <w:jc w:val="center"/>
    </w:pPr>
    <w:rPr>
      <w:rFonts w:cs="Times New Roman"/>
      <w:b/>
      <w:bCs/>
      <w:sz w:val="32"/>
      <w:szCs w:val="32"/>
      <w:u w:val="single"/>
    </w:rPr>
  </w:style>
  <w:style w:type="paragraph" w:styleId="BodyTextIndent2">
    <w:name w:val="Body Text Indent 2"/>
    <w:basedOn w:val="Normal"/>
    <w:qFormat/>
    <w:pPr>
      <w:ind w:hanging="0" w:start="1077" w:end="0"/>
      <w:jc w:val="start"/>
    </w:pPr>
    <w:rPr>
      <w:sz w:val="24"/>
    </w:rPr>
  </w:style>
  <w:style w:type="paragraph" w:styleId="BodyTextIndent3">
    <w:name w:val="Body Text Indent 3"/>
    <w:basedOn w:val="Normal"/>
    <w:qFormat/>
    <w:pPr>
      <w:ind w:hanging="0" w:start="26" w:end="0"/>
      <w:jc w:val="start"/>
    </w:pPr>
    <w:rPr>
      <w:sz w:val="24"/>
    </w:rPr>
  </w:style>
  <w:style w:type="paragraph" w:styleId="BlockText">
    <w:name w:val="Block Text"/>
    <w:basedOn w:val="Normal"/>
    <w:qFormat/>
    <w:pPr>
      <w:bidi w:val="0"/>
      <w:ind w:hanging="0" w:start="1440" w:end="746"/>
      <w:jc w:val="end"/>
    </w:pPr>
    <w:rPr>
      <w:sz w:val="24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2005-11-24T06:44:00Z</dcterms:created>
  <dc:creator> </dc:creator>
  <dc:description/>
  <dc:language>en-IL</dc:language>
  <cp:lastModifiedBy>eli</cp:lastModifiedBy>
  <cp:lastPrinted>2005-11-21T12:25:00Z</cp:lastPrinted>
  <dcterms:modified xsi:type="dcterms:W3CDTF">2005-11-24T08:45:00Z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יוסי אזולאי</vt:lpwstr>
  </property>
  <property fmtid="{D5CDD505-2E9C-101B-9397-08002B2CF9AE}" pid="4" name="CITY">
    <vt:lpwstr>ת"א</vt:lpwstr>
  </property>
  <property fmtid="{D5CDD505-2E9C-101B-9397-08002B2CF9AE}" pid="5" name="DATE">
    <vt:lpwstr>20051123</vt:lpwstr>
  </property>
  <property fmtid="{D5CDD505-2E9C-101B-9397-08002B2CF9AE}" pid="6" name="ISABSTRACT">
    <vt:lpwstr>Y</vt:lpwstr>
  </property>
  <property fmtid="{D5CDD505-2E9C-101B-9397-08002B2CF9AE}" pid="7" name="JUDGE">
    <vt:lpwstr>כבוב חאלד</vt:lpwstr>
  </property>
  <property fmtid="{D5CDD505-2E9C-101B-9397-08002B2CF9AE}" pid="8" name="LAWYER">
    <vt:lpwstr>מירי כהן;פורר  שטרן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40094</vt:lpwstr>
  </property>
  <property fmtid="{D5CDD505-2E9C-101B-9397-08002B2CF9AE}" pid="26" name="PROCYEAR">
    <vt:lpwstr>05</vt:lpwstr>
  </property>
  <property fmtid="{D5CDD505-2E9C-101B-9397-08002B2CF9AE}" pid="27" name="PSAKDIN">
    <vt:lpwstr>גזר-דין</vt:lpwstr>
  </property>
  <property fmtid="{D5CDD505-2E9C-101B-9397-08002B2CF9AE}" pid="28" name="TYPE">
    <vt:lpwstr>2</vt:lpwstr>
  </property>
  <property fmtid="{D5CDD505-2E9C-101B-9397-08002B2CF9AE}" pid="29" name="VOLUME">
    <vt:lpwstr/>
  </property>
  <property fmtid="{D5CDD505-2E9C-101B-9397-08002B2CF9AE}" pid="30" name="WORDNUMPAGES">
    <vt:lpwstr>7</vt:lpwstr>
  </property>
</Properties>
</file>