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58"/>
        <w:gridCol w:w="5128"/>
        <w:gridCol w:w="95"/>
        <w:gridCol w:w="2641"/>
      </w:tblGrid>
      <w:tr>
        <w:trPr/>
        <w:tc>
          <w:tcPr>
            <w:tcW w:w="5786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32"/>
                <w:u w:val="single"/>
              </w:rPr>
            </w:pPr>
            <w:r>
              <w:rPr>
                <w:szCs w:val="32"/>
                <w:u w:val="single"/>
                <w:rtl w:val="true"/>
              </w:rPr>
              <w:t>בית</w:t>
            </w:r>
            <w:r>
              <w:rPr>
                <w:rFonts w:cs="Times New Roman"/>
                <w:szCs w:val="32"/>
                <w:u w:val="single"/>
                <w:rtl w:val="true"/>
              </w:rPr>
              <w:t xml:space="preserve"> </w:t>
            </w:r>
            <w:r>
              <w:rPr>
                <w:szCs w:val="32"/>
                <w:u w:val="single"/>
                <w:rtl w:val="true"/>
              </w:rPr>
              <w:t>משפט</w:t>
            </w:r>
            <w:r>
              <w:rPr>
                <w:rFonts w:cs="Times New Roman"/>
                <w:szCs w:val="32"/>
                <w:u w:val="single"/>
                <w:rtl w:val="true"/>
              </w:rPr>
              <w:t xml:space="preserve"> </w:t>
            </w:r>
            <w:r>
              <w:rPr>
                <w:szCs w:val="32"/>
                <w:u w:val="single"/>
                <w:rtl w:val="true"/>
              </w:rPr>
              <w:t>המחוזי</w:t>
            </w:r>
            <w:r>
              <w:rPr>
                <w:rFonts w:cs="Times New Roman"/>
                <w:szCs w:val="32"/>
                <w:u w:val="single"/>
                <w:rtl w:val="true"/>
              </w:rPr>
              <w:t xml:space="preserve"> </w:t>
            </w:r>
            <w:r>
              <w:rPr>
                <w:szCs w:val="32"/>
                <w:u w:val="single"/>
                <w:rtl w:val="true"/>
              </w:rPr>
              <w:t>תל</w:t>
            </w:r>
            <w:r>
              <w:rPr>
                <w:rFonts w:cs="Times New Roman"/>
                <w:szCs w:val="32"/>
                <w:u w:val="single"/>
                <w:rtl w:val="true"/>
              </w:rPr>
              <w:t xml:space="preserve"> </w:t>
            </w:r>
            <w:r>
              <w:rPr>
                <w:szCs w:val="32"/>
                <w:u w:val="single"/>
                <w:rtl w:val="true"/>
              </w:rPr>
              <w:t>אביב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32"/>
                <w:u w:val="single"/>
              </w:rPr>
            </w:pPr>
            <w:r>
              <w:rPr>
                <w:szCs w:val="32"/>
                <w:u w:val="single"/>
                <w:rtl w:val="true"/>
              </w:rPr>
            </w:r>
          </w:p>
        </w:tc>
        <w:tc>
          <w:tcPr>
            <w:tcW w:w="2736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32"/>
              </w:rPr>
            </w:pPr>
            <w:r>
              <w:rPr>
                <w:szCs w:val="32"/>
                <w:rtl w:val="true"/>
              </w:rPr>
              <w:t>תפ</w:t>
            </w:r>
            <w:r>
              <w:rPr>
                <w:rFonts w:cs="Times New Roman"/>
                <w:szCs w:val="32"/>
                <w:rtl w:val="true"/>
              </w:rPr>
              <w:t xml:space="preserve">  </w:t>
            </w:r>
            <w:r>
              <w:rPr>
                <w:szCs w:val="32"/>
              </w:rPr>
              <w:t>40182/99</w:t>
            </w:r>
          </w:p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rFonts w:cs="Times New Roman"/>
                <w:szCs w:val="32"/>
              </w:rPr>
            </w:pPr>
            <w:bookmarkStart w:id="0" w:name="CaseNumIk"/>
            <w:r>
              <w:rPr>
                <w:rFonts w:cs="Times New Roman"/>
                <w:szCs w:val="32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658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32"/>
              </w:rPr>
            </w:pPr>
            <w:bookmarkStart w:id="1" w:name="Bifnei"/>
            <w:bookmarkEnd w:id="1"/>
            <w:r>
              <w:rPr>
                <w:szCs w:val="32"/>
                <w:rtl w:val="true"/>
              </w:rPr>
              <w:t>בפני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</w:p>
        </w:tc>
        <w:tc>
          <w:tcPr>
            <w:tcW w:w="5223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>
                <w:szCs w:val="32"/>
              </w:rPr>
            </w:pPr>
            <w:r>
              <w:rPr>
                <w:szCs w:val="32"/>
                <w:rtl w:val="true"/>
              </w:rPr>
              <w:t>כב</w:t>
            </w:r>
            <w:r>
              <w:rPr>
                <w:szCs w:val="32"/>
                <w:rtl w:val="true"/>
              </w:rPr>
              <w:t xml:space="preserve">' </w:t>
            </w:r>
            <w:r>
              <w:rPr>
                <w:szCs w:val="32"/>
                <w:rtl w:val="true"/>
              </w:rPr>
              <w:t>השופט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קרא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ג</w:t>
            </w:r>
            <w:r>
              <w:rPr>
                <w:szCs w:val="32"/>
                <w:rtl w:val="true"/>
              </w:rPr>
              <w:t>'</w:t>
            </w:r>
            <w:r>
              <w:rPr>
                <w:szCs w:val="32"/>
                <w:rtl w:val="true"/>
              </w:rPr>
              <w:t>ורג</w:t>
            </w:r>
            <w:r>
              <w:rPr>
                <w:szCs w:val="32"/>
                <w:rtl w:val="true"/>
              </w:rPr>
              <w:t>'</w:t>
            </w:r>
          </w:p>
        </w:tc>
        <w:tc>
          <w:tcPr>
            <w:tcW w:w="2641" w:type="dxa"/>
            <w:tcBorders/>
          </w:tcPr>
          <w:p>
            <w:pPr>
              <w:pStyle w:val="Normal"/>
              <w:bidi w:val="1"/>
              <w:snapToGrid w:val="false"/>
              <w:spacing w:lineRule="auto" w:line="240"/>
              <w:ind w:end="0"/>
              <w:jc w:val="start"/>
              <w:rPr>
                <w:szCs w:val="32"/>
              </w:rPr>
            </w:pPr>
            <w:r>
              <w:rPr>
                <w:szCs w:val="32"/>
                <w:rtl w:val="true"/>
              </w:rPr>
            </w:r>
          </w:p>
        </w:tc>
      </w:tr>
    </w:tbl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899"/>
        <w:gridCol w:w="3007"/>
        <w:gridCol w:w="2323"/>
      </w:tblGrid>
      <w:tr>
        <w:trPr/>
        <w:tc>
          <w:tcPr>
            <w:tcW w:w="1418" w:type="dxa"/>
            <w:tcBorders/>
          </w:tcPr>
          <w:p>
            <w:pPr>
              <w:pStyle w:val="Style15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899" w:type="dxa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07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before="600" w:after="0"/>
              <w:ind w:end="0"/>
              <w:jc w:val="center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6"/>
              <w:bidi w:val="1"/>
              <w:spacing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6"/>
              <w:bidi w:val="1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מצארוה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899" w:type="dxa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07" w:type="dxa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לג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ולי</w:t>
            </w:r>
          </w:p>
        </w:tc>
        <w:tc>
          <w:tcPr>
            <w:tcW w:w="2323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Heading2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bookmarkStart w:id="2" w:name="LawTable"/>
      <w:bookmarkEnd w:id="2"/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: 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  </w:t>
      </w:r>
    </w:p>
    <w:p>
      <w:pPr>
        <w:pStyle w:val="Heading2"/>
        <w:suppressLineNumbers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25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34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ד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51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402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413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ה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413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ב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413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ב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</w:rPr>
        <w:t>5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)+</w:t>
      </w:r>
    </w:p>
    <w:p>
      <w:pPr>
        <w:pStyle w:val="Heading2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  <w:bookmarkStart w:id="3" w:name="LawTable_End"/>
      <w:bookmarkStart w:id="4" w:name="LawTable_End"/>
      <w:bookmarkEnd w:id="4"/>
    </w:p>
    <w:p>
      <w:pPr>
        <w:pStyle w:val="Tuta"/>
        <w:bidi w:val="1"/>
        <w:spacing w:lineRule="auto" w:line="240"/>
        <w:ind w:end="0"/>
        <w:jc w:val="center"/>
        <w:rPr>
          <w:rFonts w:ascii="Arial" w:hAnsi="Arial" w:cs="Arial"/>
          <w:b/>
          <w:bCs/>
          <w:iCs w:val="false"/>
          <w:color w:val="000000"/>
          <w:szCs w:val="28"/>
          <w:u w:val="single"/>
          <w:lang w:val="en-US" w:eastAsia="he-IL"/>
        </w:rPr>
      </w:pPr>
      <w:bookmarkStart w:id="5" w:name="PsakDin"/>
      <w:bookmarkStart w:id="6" w:name="Status"/>
      <w:bookmarkEnd w:id="5"/>
      <w:bookmarkEnd w:id="6"/>
      <w:r>
        <w:rPr>
          <w:rFonts w:ascii="Arial" w:hAnsi="Arial" w:cs="Arial"/>
          <w:b/>
          <w:b/>
          <w:bCs/>
          <w:iCs w:val="false"/>
          <w:color w:val="000000"/>
          <w:szCs w:val="28"/>
          <w:u w:val="single"/>
          <w:rtl w:val="true"/>
          <w:lang w:val="en-US" w:eastAsia="he-IL"/>
        </w:rPr>
        <w:t>גזר דין</w:t>
      </w:r>
      <w:r>
        <w:rPr>
          <w:rFonts w:ascii="Arial" w:hAnsi="Arial" w:cs="Arial"/>
          <w:b/>
          <w:b/>
          <w:bCs/>
          <w:iCs w:val="false"/>
          <w:color w:val="000000"/>
          <w:szCs w:val="28"/>
          <w:u w:val="single"/>
          <w:rtl w:val="true"/>
          <w:lang w:val="en-US" w:eastAsia="he-IL"/>
        </w:rPr>
        <w:t xml:space="preserve">   </w:t>
      </w:r>
    </w:p>
    <w:p>
      <w:pPr>
        <w:pStyle w:val="Tuta"/>
        <w:bidi w:val="1"/>
        <w:spacing w:lineRule="auto" w:line="240"/>
        <w:ind w:end="0"/>
        <w:jc w:val="start"/>
        <w:rPr>
          <w:rFonts w:ascii="Arial" w:hAnsi="Arial" w:cs="Arial"/>
          <w:b/>
          <w:bCs/>
          <w:iCs w:val="false"/>
          <w:color w:val="000000"/>
          <w:szCs w:val="28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Cs w:val="28"/>
          <w:u w:val="single"/>
          <w:rtl w:val="true"/>
          <w:lang w:val="en-US" w:eastAsia="he-IL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החוק</w:t>
      </w:r>
      <w:r>
        <w:rPr>
          <w:rtl w:val="true"/>
        </w:rPr>
        <w:t>")</w:t>
      </w:r>
      <w:r>
        <w:rPr>
          <w:rtl w:val="true"/>
        </w:rPr>
        <w:t>;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  <w:bookmarkStart w:id="10" w:name="ABSTRACT_END"/>
      <w:bookmarkEnd w:id="10"/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8873/98</w:t>
      </w:r>
      <w:r>
        <w:rPr>
          <w:rtl w:val="true"/>
        </w:rPr>
        <w:t xml:space="preserve"> -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)+</w:t>
        </w:r>
      </w:hyperlink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וסע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  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12248/97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1158/98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14.4.99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12248/97</w:t>
      </w:r>
      <w:r>
        <w:rPr>
          <w:rtl w:val="true"/>
        </w:rPr>
        <w:t xml:space="preserve"> </w:t>
      </w:r>
      <w:r>
        <w:rPr>
          <w:rtl w:val="true"/>
        </w:rPr>
        <w:t>והפקעת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1158/98</w:t>
        </w:r>
      </w:hyperlink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szCs w:val="24"/>
          <w:rtl w:val="true"/>
        </w:rPr>
        <w:t>ב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6,140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אחר</w:t>
      </w:r>
      <w:r>
        <w:rPr>
          <w:rtl w:val="true"/>
        </w:rPr>
        <w:t>'.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איכותית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בשיקלול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בהסתפקה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tl w:val="true"/>
        </w:rPr>
        <w:t xml:space="preserve">, </w:t>
      </w:r>
      <w:r>
        <w:rPr>
          <w:rtl w:val="true"/>
        </w:rPr>
        <w:t>והפקעתם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1158/98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 xml:space="preserve">. </w:t>
      </w:r>
      <w:r>
        <w:rPr>
          <w:rtl w:val="true"/>
        </w:rPr>
        <w:t>משסבור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1158/98</w:t>
        </w:r>
      </w:hyperlink>
      <w:r>
        <w:rPr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ומאח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14.4.99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6.5.99</w:t>
      </w:r>
      <w:r>
        <w:rPr>
          <w:rtl w:val="true"/>
        </w:rPr>
        <w:t xml:space="preserve">-,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וככזה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12248/97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1158/98</w:t>
        </w:r>
      </w:hyperlink>
      <w:r>
        <w:rPr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1158/98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-,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, </w:t>
      </w:r>
      <w:r>
        <w:rPr>
          <w:rtl w:val="true"/>
        </w:rPr>
        <w:t>כשמתוך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10.5.99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6,140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14.10.99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bidi w:val="1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napToGrid w:val="false"/>
              <w:spacing w:lineRule="auto" w:line="240"/>
              <w:ind w:end="0"/>
              <w:jc w:val="start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m9940182.doc</w:t>
      </w:r>
      <w:r>
        <w:rPr>
          <w:rtl w:val="true"/>
        </w:rPr>
        <w:fldChar w:fldCharType="end"/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fldChar w:fldCharType="begin"/>
    </w:r>
    <w:r>
      <w:rPr>
        <w:rtl w:val="true"/>
        <w:szCs w:val="24"/>
        <w:rFonts w:cs="FrankRuehl" w:ascii="FrankRuehl" w:hAnsi="FrankRuehl"/>
      </w:rPr>
      <w:instrText xml:space="preserve"> PAGE </w:instrText>
    </w:r>
    <w:r>
      <w:rPr>
        <w:rtl w:val="true"/>
        <w:szCs w:val="24"/>
        <w:rFonts w:cs="FrankRuehl" w:ascii="FrankRuehl" w:hAnsi="FrankRuehl"/>
      </w:rPr>
      <w:fldChar w:fldCharType="separate"/>
    </w:r>
    <w:r>
      <w:rPr>
        <w:rtl w:val="true"/>
        <w:szCs w:val="24"/>
        <w:rFonts w:cs="FrankRuehl" w:ascii="FrankRuehl" w:hAnsi="FrankRuehl"/>
      </w:rPr>
      <w:t>3</w:t>
    </w:r>
    <w:r>
      <w:rPr>
        <w:rtl w:val="true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/Users/liorb/Downloads/study2025-p2/m9940182.doc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40182/99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פארס מצארוה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8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d" TargetMode="External"/><Relationship Id="rId5" Type="http://schemas.openxmlformats.org/officeDocument/2006/relationships/hyperlink" Target="http://www.nevo.co.il/law/70301/5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13.e" TargetMode="External"/><Relationship Id="rId9" Type="http://schemas.openxmlformats.org/officeDocument/2006/relationships/hyperlink" Target="http://www.nevo.co.il/law/70301/413b" TargetMode="External"/><Relationship Id="rId10" Type="http://schemas.openxmlformats.org/officeDocument/2006/relationships/hyperlink" Target="http://www.nevo.co.il/law/70301/413b.5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13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3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13.e" TargetMode="External"/><Relationship Id="rId20" Type="http://schemas.openxmlformats.org/officeDocument/2006/relationships/hyperlink" Target="http://www.nevo.co.il/law/70301/413b.5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34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466793" TargetMode="External"/><Relationship Id="rId25" Type="http://schemas.openxmlformats.org/officeDocument/2006/relationships/hyperlink" Target="http://www.nevo.co.il/case/2466793" TargetMode="External"/><Relationship Id="rId26" Type="http://schemas.openxmlformats.org/officeDocument/2006/relationships/hyperlink" Target="http://www.nevo.co.il/case/2466793" TargetMode="External"/><Relationship Id="rId27" Type="http://schemas.openxmlformats.org/officeDocument/2006/relationships/hyperlink" Target="http://www.nevo.co.il/case/2466793" TargetMode="External"/><Relationship Id="rId28" Type="http://schemas.openxmlformats.org/officeDocument/2006/relationships/hyperlink" Target="http://www.nevo.co.il/case/2466793" TargetMode="External"/><Relationship Id="rId29" Type="http://schemas.openxmlformats.org/officeDocument/2006/relationships/hyperlink" Target="http://www.nevo.co.il/case/2466793" TargetMode="External"/><Relationship Id="rId30" Type="http://schemas.openxmlformats.org/officeDocument/2006/relationships/hyperlink" Target="http://www.nevo.co.il/law/70301/5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04018299p.dot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2020-07-02T08:43:00Z</dcterms:created>
  <dc:creator> </dc:creator>
  <dc:description/>
  <cp:keywords/>
  <dc:language>en-IL</dc:language>
  <cp:lastModifiedBy>yafit</cp:lastModifiedBy>
  <cp:lastPrinted>1999-10-06T09:03:00Z</cp:lastPrinted>
  <dcterms:modified xsi:type="dcterms:W3CDTF">2020-07-02T08:43:00Z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פארס מצארוה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ProcID=209&amp;PartA=8873&amp;PartC=98</vt:lpwstr>
  </property>
  <property fmtid="{D5CDD505-2E9C-101B-9397-08002B2CF9AE}" pid="9" name="CASENOTES2">
    <vt:lpwstr>ProcID=209&amp;PartA=12248&amp;PartC=97</vt:lpwstr>
  </property>
  <property fmtid="{D5CDD505-2E9C-101B-9397-08002B2CF9AE}" pid="10" name="CASESLISTTMP1">
    <vt:lpwstr>2466793:6</vt:lpwstr>
  </property>
  <property fmtid="{D5CDD505-2E9C-101B-9397-08002B2CF9AE}" pid="11" name="CITY">
    <vt:lpwstr>ת"א</vt:lpwstr>
  </property>
  <property fmtid="{D5CDD505-2E9C-101B-9397-08002B2CF9AE}" pid="12" name="ConsRoom">
    <vt:lpwstr/>
  </property>
  <property fmtid="{D5CDD505-2E9C-101B-9397-08002B2CF9AE}" pid="13" name="ConsType">
    <vt:lpwstr/>
  </property>
  <property fmtid="{D5CDD505-2E9C-101B-9397-08002B2CF9AE}" pid="14" name="DATE">
    <vt:lpwstr>19991231</vt:lpwstr>
  </property>
  <property fmtid="{D5CDD505-2E9C-101B-9397-08002B2CF9AE}" pid="15" name="DELEMATA">
    <vt:lpwstr/>
  </property>
  <property fmtid="{D5CDD505-2E9C-101B-9397-08002B2CF9AE}" pid="16" name="DateHatima">
    <vt:lpwstr>06/10/1999</vt:lpwstr>
  </property>
  <property fmtid="{D5CDD505-2E9C-101B-9397-08002B2CF9AE}" pid="17" name="EndDate">
    <vt:lpwstr>05/10/1999</vt:lpwstr>
  </property>
  <property fmtid="{D5CDD505-2E9C-101B-9397-08002B2CF9AE}" pid="18" name="EndHour">
    <vt:lpwstr>15:47</vt:lpwstr>
  </property>
  <property fmtid="{D5CDD505-2E9C-101B-9397-08002B2CF9AE}" pid="19" name="ISABSTRACT">
    <vt:lpwstr>Y</vt:lpwstr>
  </property>
  <property fmtid="{D5CDD505-2E9C-101B-9397-08002B2CF9AE}" pid="20" name="Joint">
    <vt:r8>1</vt:r8>
  </property>
  <property fmtid="{D5CDD505-2E9C-101B-9397-08002B2CF9AE}" pid="21" name="Judge">
    <vt:lpwstr>קרא ג'ורג'</vt:lpwstr>
  </property>
  <property fmtid="{D5CDD505-2E9C-101B-9397-08002B2CF9AE}" pid="22" name="JudgeHatima">
    <vt:lpwstr>קרא ג'ורג', שופט</vt:lpwstr>
  </property>
  <property fmtid="{D5CDD505-2E9C-101B-9397-08002B2CF9AE}" pid="23" name="LAWLISTTMP1">
    <vt:lpwstr>70301/402.b;413b:2;144.b;413.e;413b.5;025;034d;051</vt:lpwstr>
  </property>
  <property fmtid="{D5CDD505-2E9C-101B-9397-08002B2CF9AE}" pid="24" name="LAWYER">
    <vt:lpwstr>ג'לג'ולי</vt:lpwstr>
  </property>
  <property fmtid="{D5CDD505-2E9C-101B-9397-08002B2CF9AE}" pid="25" name="LINKK1">
    <vt:lpwstr/>
  </property>
  <property fmtid="{D5CDD505-2E9C-101B-9397-08002B2CF9AE}" pid="26" name="LINKK10">
    <vt:lpwstr/>
  </property>
  <property fmtid="{D5CDD505-2E9C-101B-9397-08002B2CF9AE}" pid="27" name="LINKK11">
    <vt:lpwstr/>
  </property>
  <property fmtid="{D5CDD505-2E9C-101B-9397-08002B2CF9AE}" pid="28" name="LINKK12">
    <vt:lpwstr/>
  </property>
  <property fmtid="{D5CDD505-2E9C-101B-9397-08002B2CF9AE}" pid="29" name="LINKK2">
    <vt:lpwstr/>
  </property>
  <property fmtid="{D5CDD505-2E9C-101B-9397-08002B2CF9AE}" pid="30" name="LINKK3">
    <vt:lpwstr/>
  </property>
  <property fmtid="{D5CDD505-2E9C-101B-9397-08002B2CF9AE}" pid="31" name="LINKK4">
    <vt:lpwstr/>
  </property>
  <property fmtid="{D5CDD505-2E9C-101B-9397-08002B2CF9AE}" pid="32" name="LINKK5">
    <vt:lpwstr/>
  </property>
  <property fmtid="{D5CDD505-2E9C-101B-9397-08002B2CF9AE}" pid="33" name="LINKK6">
    <vt:lpwstr/>
  </property>
  <property fmtid="{D5CDD505-2E9C-101B-9397-08002B2CF9AE}" pid="34" name="LINKK7">
    <vt:lpwstr/>
  </property>
  <property fmtid="{D5CDD505-2E9C-101B-9397-08002B2CF9AE}" pid="35" name="LINKK8">
    <vt:lpwstr/>
  </property>
  <property fmtid="{D5CDD505-2E9C-101B-9397-08002B2CF9AE}" pid="36" name="LINKK9">
    <vt:lpwstr/>
  </property>
  <property fmtid="{D5CDD505-2E9C-101B-9397-08002B2CF9AE}" pid="37" name="NEWPARTA">
    <vt:lpwstr/>
  </property>
  <property fmtid="{D5CDD505-2E9C-101B-9397-08002B2CF9AE}" pid="38" name="NEWPARTB">
    <vt:lpwstr/>
  </property>
  <property fmtid="{D5CDD505-2E9C-101B-9397-08002B2CF9AE}" pid="39" name="NEWPARTC">
    <vt:lpwstr/>
  </property>
  <property fmtid="{D5CDD505-2E9C-101B-9397-08002B2CF9AE}" pid="40" name="NEWPROC">
    <vt:lpwstr/>
  </property>
  <property fmtid="{D5CDD505-2E9C-101B-9397-08002B2CF9AE}" pid="41" name="PADIMAIL">
    <vt:lpwstr/>
  </property>
  <property fmtid="{D5CDD505-2E9C-101B-9397-08002B2CF9AE}" pid="42" name="PAGE">
    <vt:lpwstr/>
  </property>
  <property fmtid="{D5CDD505-2E9C-101B-9397-08002B2CF9AE}" pid="43" name="PART">
    <vt:lpwstr/>
  </property>
  <property fmtid="{D5CDD505-2E9C-101B-9397-08002B2CF9AE}" pid="44" name="PROCESS">
    <vt:lpwstr>תפ</vt:lpwstr>
  </property>
  <property fmtid="{D5CDD505-2E9C-101B-9397-08002B2CF9AE}" pid="45" name="PROCNUM">
    <vt:lpwstr>40182</vt:lpwstr>
  </property>
  <property fmtid="{D5CDD505-2E9C-101B-9397-08002B2CF9AE}" pid="46" name="PROCYEAR">
    <vt:lpwstr>99</vt:lpwstr>
  </property>
  <property fmtid="{D5CDD505-2E9C-101B-9397-08002B2CF9AE}" pid="47" name="PSAKDIN">
    <vt:lpwstr>גזר-דין</vt:lpwstr>
  </property>
  <property fmtid="{D5CDD505-2E9C-101B-9397-08002B2CF9AE}" pid="48" name="Pirsum">
    <vt:lpwstr>05/10/1999</vt:lpwstr>
  </property>
  <property fmtid="{D5CDD505-2E9C-101B-9397-08002B2CF9AE}" pid="49" name="Sod">
    <vt:lpwstr>1</vt:lpwstr>
  </property>
  <property fmtid="{D5CDD505-2E9C-101B-9397-08002B2CF9AE}" pid="50" name="StartDate">
    <vt:lpwstr>04/10/1999</vt:lpwstr>
  </property>
  <property fmtid="{D5CDD505-2E9C-101B-9397-08002B2CF9AE}" pid="51" name="StartHour">
    <vt:lpwstr>13:40</vt:lpwstr>
  </property>
  <property fmtid="{D5CDD505-2E9C-101B-9397-08002B2CF9AE}" pid="52" name="StartPage">
    <vt:lpwstr>1</vt:lpwstr>
  </property>
  <property fmtid="{D5CDD505-2E9C-101B-9397-08002B2CF9AE}" pid="53" name="Status">
    <vt:lpwstr>חתום</vt:lpwstr>
  </property>
  <property fmtid="{D5CDD505-2E9C-101B-9397-08002B2CF9AE}" pid="54" name="TYPE">
    <vt:lpwstr>2</vt:lpwstr>
  </property>
  <property fmtid="{D5CDD505-2E9C-101B-9397-08002B2CF9AE}" pid="55" name="TYPE_ABS_DATE">
    <vt:lpwstr>390019991231</vt:lpwstr>
  </property>
  <property fmtid="{D5CDD505-2E9C-101B-9397-08002B2CF9AE}" pid="56" name="TYPE_N_DATE">
    <vt:lpwstr>39019991231</vt:lpwstr>
  </property>
  <property fmtid="{D5CDD505-2E9C-101B-9397-08002B2CF9AE}" pid="57" name="Typer">
    <vt:lpwstr>אודליה</vt:lpwstr>
  </property>
  <property fmtid="{D5CDD505-2E9C-101B-9397-08002B2CF9AE}" pid="58" name="VOLUME">
    <vt:lpwstr/>
  </property>
  <property fmtid="{D5CDD505-2E9C-101B-9397-08002B2CF9AE}" pid="59" name="Ver">
    <vt:lpwstr>5</vt:lpwstr>
  </property>
  <property fmtid="{D5CDD505-2E9C-101B-9397-08002B2CF9AE}" pid="60" name="WORDNUMPAGES">
    <vt:lpwstr>3</vt:lpwstr>
  </property>
  <property fmtid="{D5CDD505-2E9C-101B-9397-08002B2CF9AE}" pid="61" name="curName">
    <vt:lpwstr>X:\data\KARA\04018299p\g04018299p.002</vt:lpwstr>
  </property>
</Properties>
</file>