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40"/>
          <w:szCs w:val="40"/>
        </w:rPr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040212/03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16/02/2004</w:t>
            </w:r>
          </w:p>
        </w:tc>
      </w:tr>
    </w:tbl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ג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איימן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ג</w:t>
            </w:r>
            <w:r>
              <w:rPr>
                <w:szCs w:val="26"/>
                <w:rtl w:val="true"/>
              </w:rPr>
              <w:t>'</w:t>
            </w:r>
            <w:r>
              <w:rPr>
                <w:szCs w:val="26"/>
                <w:rtl w:val="true"/>
              </w:rPr>
              <w:t>אבר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הנאשם</w:t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7230" w:type="dxa"/>
        <w:jc w:val="start"/>
        <w:tblInd w:w="129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</w:tblGrid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bookmarkStart w:id="2" w:name="FirstLawyer"/>
            <w:bookmarkEnd w:id="2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bookmarkStart w:id="3" w:name="בא_כוח_א"/>
            <w:bookmarkEnd w:id="3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תאר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bookmarkStart w:id="4" w:name="בא_כוח_ב"/>
            <w:bookmarkEnd w:id="4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גורן</w:t>
            </w:r>
          </w:p>
        </w:tc>
      </w:tr>
    </w:tbl>
    <w:p>
      <w:pPr>
        <w:pStyle w:val="1"/>
        <w:suppressLineNumbers/>
        <w:bidi w:val="0"/>
        <w:snapToGrid w:val="true"/>
        <w:spacing w:lineRule="auto" w:line="360"/>
        <w:jc w:val="start"/>
        <w:rPr/>
      </w:pPr>
      <w:r>
        <w:rPr/>
      </w:r>
      <w:bookmarkStart w:id="5" w:name="סוג_מסמך"/>
      <w:bookmarkStart w:id="6" w:name="סוג_מסמך"/>
      <w:bookmarkEnd w:id="6"/>
    </w:p>
    <w:p>
      <w:pPr>
        <w:pStyle w:val="1"/>
        <w:suppressLineNumbers/>
        <w:bidi w:val="0"/>
        <w:snapToGrid w:val="true"/>
        <w:spacing w:lineRule="auto" w:line="360"/>
        <w:jc w:val="start"/>
        <w:rPr/>
      </w:pPr>
      <w:r>
        <w:rPr/>
      </w:r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נדחה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24.2.05</w:t>
      </w:r>
      <w:r>
        <w:rPr>
          <w:rFonts w:cs="FrankRuehl"/>
          <w:sz w:val="26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6"/>
            <w:sz w:val="26"/>
            <w:szCs w:val="26"/>
            <w:rtl w:val="true"/>
          </w:rPr>
          <w:t>עפ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Cs w:val="26"/>
          </w:rPr>
          <w:t>3135/04</w:t>
        </w:r>
        <w:r>
          <w:rPr>
            <w:rStyle w:val="Hyperlink"/>
            <w:rFonts w:cs="FrankRuehl"/>
            <w:sz w:val="26"/>
            <w:szCs w:val="26"/>
            <w:rtl w:val="true"/>
          </w:rPr>
          <w:tab/>
        </w:r>
      </w:hyperlink>
      <w:r>
        <w:rPr>
          <w:rFonts w:cs="FrankRuehl"/>
          <w:color w:val="000000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איימן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מוסטפה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ג</w:t>
      </w:r>
      <w:r>
        <w:rPr>
          <w:rFonts w:cs="FrankRuehl"/>
          <w:color w:val="000000"/>
          <w:sz w:val="26"/>
          <w:szCs w:val="26"/>
          <w:rtl w:val="true"/>
        </w:rPr>
        <w:t>'</w:t>
      </w:r>
      <w:r>
        <w:rPr>
          <w:rFonts w:cs="FrankRuehl"/>
          <w:color w:val="000000"/>
          <w:sz w:val="26"/>
          <w:sz w:val="26"/>
          <w:szCs w:val="26"/>
          <w:rtl w:val="true"/>
        </w:rPr>
        <w:t>אבר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פרוקצ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יה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לוי</w:t>
      </w:r>
      <w:r>
        <w:rPr>
          <w:rFonts w:cs="FrankRuehl"/>
          <w:sz w:val="26"/>
          <w:szCs w:val="26"/>
          <w:rtl w:val="true"/>
        </w:rPr>
        <w:t>,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גרוני</w:t>
      </w:r>
      <w:bookmarkStart w:id="7" w:name="LawTable"/>
      <w:bookmarkEnd w:id="7"/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240" w:before="6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6"/>
          <w:sz w:val="26"/>
          <w:szCs w:val="26"/>
          <w:rtl w:val="true"/>
        </w:rPr>
        <w:t>ס</w:t>
      </w:r>
    </w:p>
    <w:p>
      <w:pPr>
        <w:pStyle w:val="Header"/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/>
          <w:bCs/>
          <w:sz w:val="34"/>
          <w:szCs w:val="32"/>
          <w:u w:val="single"/>
          <w:rtl w:val="true"/>
        </w:rPr>
        <w:t xml:space="preserve">- 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ההרשעה</w:t>
      </w:r>
    </w:p>
    <w:p>
      <w:pPr>
        <w:pStyle w:val="Normal"/>
        <w:ind w:end="0"/>
        <w:jc w:val="both"/>
        <w:rPr/>
      </w:pP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15" w:name="ABSTRACT_END"/>
      <w:bookmarkEnd w:id="15"/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17.6.03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הנסיבות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האישיות</w:t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התחזות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5.6.01</w:t>
      </w:r>
      <w:r>
        <w:rPr>
          <w:rtl w:val="true"/>
        </w:rPr>
        <w:t xml:space="preserve">,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40200/01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31.1.02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tl w:val="true"/>
        </w:rPr>
        <w:t xml:space="preserve">".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לעבוד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הענישה</w:t>
      </w:r>
    </w:p>
    <w:p>
      <w:pPr>
        <w:pStyle w:val="Normal"/>
        <w:ind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מזינות</w:t>
      </w:r>
      <w:r>
        <w:rPr>
          <w:rtl w:val="true"/>
        </w:rPr>
        <w:t xml:space="preserve">, </w:t>
      </w:r>
      <w:r>
        <w:rPr>
          <w:rtl w:val="true"/>
        </w:rPr>
        <w:t>מטיבן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</w:t>
      </w:r>
      <w:r>
        <w:rPr>
          <w:rtl w:val="true"/>
        </w:rPr>
        <w:t xml:space="preserve">,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916/85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4507/00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675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בימינו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8540/02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 xml:space="preserve">, </w:t>
      </w:r>
      <w:r>
        <w:rPr/>
        <w:t>101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ברותחין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שהזכרתי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שבתיקנו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קפלן</w:t>
      </w:r>
      <w:r>
        <w:rPr>
          <w:rtl w:val="true"/>
        </w:rPr>
        <w:t>-</w:t>
      </w:r>
      <w:r>
        <w:rPr>
          <w:rtl w:val="true"/>
        </w:rPr>
        <w:t>הגלר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תיענשנה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5620/00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2237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 xml:space="preserve">: </w:t>
      </w:r>
    </w:p>
    <w:p>
      <w:pPr>
        <w:pStyle w:val="Normal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</w:p>
    <w:p>
      <w:pPr>
        <w:pStyle w:val="Normal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הועילה</w:t>
      </w:r>
      <w:r>
        <w:rPr>
          <w:rtl w:val="true"/>
        </w:rPr>
        <w:t xml:space="preserve">.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תכבד</w:t>
      </w:r>
      <w:r>
        <w:rPr>
          <w:rtl w:val="true"/>
        </w:rPr>
        <w:t xml:space="preserve">,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31.1.02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40200/01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/>
        <w:t>1</w:t>
      </w:r>
      <w:r>
        <w:rPr>
          <w:rtl w:val="true"/>
        </w:rPr>
        <w:t>.</w:t>
        <w:tab/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17.6.03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6" w:name="Decision1"/>
      <w:bookmarkStart w:id="17" w:name="Decision1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16"/>
          <w:szCs w:val="16"/>
        </w:rPr>
      </w:pPr>
      <w:r>
        <w:rPr>
          <w:b/>
          <w:b/>
          <w:bCs/>
          <w:sz w:val="16"/>
          <w:sz w:val="16"/>
          <w:szCs w:val="16"/>
          <w:rtl w:val="true"/>
        </w:rPr>
        <w:t>קלדנית</w:t>
      </w:r>
      <w:r>
        <w:rPr>
          <w:b/>
          <w:bCs/>
          <w:sz w:val="16"/>
          <w:szCs w:val="16"/>
          <w:rtl w:val="true"/>
        </w:rPr>
        <w:t xml:space="preserve">: </w:t>
      </w:r>
      <w:r>
        <w:rPr>
          <w:b/>
          <w:b/>
          <w:bCs/>
          <w:sz w:val="16"/>
          <w:sz w:val="16"/>
          <w:szCs w:val="16"/>
          <w:rtl w:val="true"/>
        </w:rPr>
        <w:t>גילה</w:t>
      </w:r>
      <w:r>
        <w:rPr>
          <w:rFonts w:cs="Times New Roman"/>
          <w:b/>
          <w:b/>
          <w:bCs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sz w:val="16"/>
          <w:sz w:val="16"/>
          <w:szCs w:val="16"/>
          <w:rtl w:val="true"/>
        </w:rPr>
        <w:t>ק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ונבונבונבונבונבו</w:t>
      </w:r>
      <w:r>
        <w:rPr>
          <w:b/>
          <w:bCs/>
          <w:sz w:val="16"/>
          <w:szCs w:val="16"/>
          <w:rtl w:val="true"/>
        </w:rPr>
        <w:t>.</w:t>
      </w:r>
      <w:bookmarkEnd w:id="17"/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/Users/liorb/Downloads/study2025-p2/m03040212.doc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40212/03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איימן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7796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2230255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32686" TargetMode="External"/><Relationship Id="rId14" Type="http://schemas.openxmlformats.org/officeDocument/2006/relationships/hyperlink" Target="http://www.nevo.co.il/case/5961675" TargetMode="External"/><Relationship Id="rId15" Type="http://schemas.openxmlformats.org/officeDocument/2006/relationships/hyperlink" Target="http://www.nevo.co.il/case/6131808" TargetMode="External"/><Relationship Id="rId16" Type="http://schemas.openxmlformats.org/officeDocument/2006/relationships/hyperlink" Target="http://www.nevo.co.il/case/6024508" TargetMode="External"/><Relationship Id="rId17" Type="http://schemas.openxmlformats.org/officeDocument/2006/relationships/hyperlink" Target="http://www.nevo.co.il/case/2230255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2017-04-18T13:18:00Z</dcterms:created>
  <dc:creator> </dc:creator>
  <dc:description/>
  <cp:keywords/>
  <dc:language>en-IL</dc:language>
  <cp:lastModifiedBy>run</cp:lastModifiedBy>
  <dcterms:modified xsi:type="dcterms:W3CDTF">2017-04-18T13:18:00Z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איימן ג'אבר</vt:lpwstr>
  </property>
  <property fmtid="{D5CDD505-2E9C-101B-9397-08002B2CF9AE}" pid="4" name="CASESLISTTMP1">
    <vt:lpwstr>5877964;2230255:2;17932686;5961675;6131808;6024508</vt:lpwstr>
  </property>
  <property fmtid="{D5CDD505-2E9C-101B-9397-08002B2CF9AE}" pid="5" name="CITY">
    <vt:lpwstr>ת"א</vt:lpwstr>
  </property>
  <property fmtid="{D5CDD505-2E9C-101B-9397-08002B2CF9AE}" pid="6" name="DATE">
    <vt:lpwstr>20040216</vt:lpwstr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LISTTMP1">
    <vt:lpwstr>70301/144.b;275;144</vt:lpwstr>
  </property>
  <property fmtid="{D5CDD505-2E9C-101B-9397-08002B2CF9AE}" pid="10" name="LAWYER">
    <vt:lpwstr>א. תאר;א. גורן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>http://www.nevo.co.il/Psika_word/elyon/0403135.doc;לערעור בעליון (נדחה, 24.2.05)#עפ 3135/04 איימן מוסטפה ג'אבר נ' מדינת ישראל#א' פרוקצ'יה, א' א' לוי, א' גרוניס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OSE1">
    <vt:lpwstr/>
  </property>
  <property fmtid="{D5CDD505-2E9C-101B-9397-08002B2CF9AE}" pid="27" name="NOSE2">
    <vt:lpwstr/>
  </property>
  <property fmtid="{D5CDD505-2E9C-101B-9397-08002B2CF9AE}" pid="28" name="NOSE3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40212</vt:lpwstr>
  </property>
  <property fmtid="{D5CDD505-2E9C-101B-9397-08002B2CF9AE}" pid="34" name="PROCYEAR">
    <vt:lpwstr>03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