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16"/>
          <w:szCs w:val="18"/>
        </w:rPr>
      </w:pPr>
      <w:bookmarkStart w:id="0" w:name="LastJudge"/>
      <w:bookmarkEnd w:id="0"/>
      <w:r>
        <w:rPr>
          <w:b/>
          <w:b/>
          <w:bCs/>
          <w:sz w:val="16"/>
          <w:sz w:val="16"/>
          <w:szCs w:val="18"/>
          <w:rtl w:val="true"/>
        </w:rPr>
        <w:t>בתי</w:t>
      </w:r>
      <w:r>
        <w:rPr>
          <w:rFonts w:cs="Times New Roman"/>
          <w:b/>
          <w:b/>
          <w:bCs/>
          <w:sz w:val="16"/>
          <w:sz w:val="16"/>
          <w:szCs w:val="18"/>
          <w:rtl w:val="true"/>
        </w:rPr>
        <w:t xml:space="preserve"> </w:t>
      </w:r>
      <w:r>
        <w:rPr>
          <w:b/>
          <w:b/>
          <w:bCs/>
          <w:sz w:val="16"/>
          <w:sz w:val="16"/>
          <w:szCs w:val="18"/>
          <w:rtl w:val="true"/>
        </w:rPr>
        <w:t>המשפט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1106"/>
        <w:gridCol w:w="1809"/>
      </w:tblGrid>
      <w:tr>
        <w:trPr>
          <w:trHeight w:val="195" w:hRule="atLeast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אביב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006136/07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בפני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שופט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כוחן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חיותה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12/03/2008</w:t>
            </w:r>
          </w:p>
        </w:tc>
      </w:tr>
    </w:tbl>
    <w:p>
      <w:pPr>
        <w:pStyle w:val="Style8"/>
        <w:ind w:end="0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4" w:name="בא_כוח_א"/>
            <w:r>
              <w:rPr>
                <w:sz w:val="24"/>
                <w:sz w:val="24"/>
                <w:rtl w:val="true"/>
              </w:rPr>
              <w:t>מזרחי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5" w:name="שם_ב"/>
            <w:r>
              <w:rPr>
                <w:sz w:val="24"/>
                <w:sz w:val="24"/>
                <w:rtl w:val="true"/>
              </w:rPr>
              <w:t>קורידו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בליווי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6" w:name="בא_כוח_ב"/>
            <w:r>
              <w:rPr>
                <w:sz w:val="24"/>
                <w:sz w:val="24"/>
                <w:rtl w:val="true"/>
              </w:rPr>
              <w:t>זיו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7" w:name="כינוי_ב"/>
            <w:r>
              <w:rPr>
                <w:sz w:val="24"/>
                <w:sz w:val="24"/>
                <w:rtl w:val="true"/>
              </w:rPr>
              <w:t>נאשם</w:t>
            </w:r>
            <w:bookmarkEnd w:id="7"/>
          </w:p>
        </w:tc>
      </w:tr>
    </w:tbl>
    <w:p>
      <w:pPr>
        <w:pStyle w:val="Style8"/>
        <w:ind w:end="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rtl w:val="true"/>
        </w:rPr>
      </w:r>
      <w:bookmarkStart w:id="8" w:name="LawTable"/>
      <w:bookmarkStart w:id="9" w:name="LawTable"/>
      <w:bookmarkEnd w:id="9"/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36"/>
        </w:rPr>
      </w:pPr>
      <w:r>
        <w:rPr>
          <w:rFonts w:cs="FrankRuehl" w:ascii="FrankRuehl" w:hAnsi="FrankRuehl"/>
          <w:b w:val="false"/>
          <w:bCs w:val="false"/>
          <w:sz w:val="24"/>
          <w:szCs w:val="36"/>
          <w:rtl w:val="true"/>
        </w:rPr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1981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8"/>
        <w:ind w:end="0"/>
        <w:jc w:val="center"/>
        <w:rPr>
          <w:rFonts w:ascii="FrankRuehl" w:hAnsi="FrankRuehl" w:cs="FrankRuehl"/>
          <w:b w:val="false"/>
          <w:bCs w:val="false"/>
          <w:sz w:val="36"/>
          <w:szCs w:val="36"/>
        </w:rPr>
      </w:pPr>
      <w:r>
        <w:rPr>
          <w:rFonts w:cs="FrankRuehl" w:ascii="FrankRuehl" w:hAnsi="FrankRuehl"/>
          <w:b w:val="false"/>
          <w:bCs w:val="false"/>
          <w:sz w:val="36"/>
          <w:szCs w:val="36"/>
          <w:rtl w:val="true"/>
        </w:rPr>
      </w:r>
      <w:bookmarkStart w:id="10" w:name="LawTable_End"/>
      <w:bookmarkStart w:id="11" w:name="LawTable_End"/>
      <w:bookmarkEnd w:id="11"/>
    </w:p>
    <w:p>
      <w:pPr>
        <w:pStyle w:val="Style8"/>
        <w:ind w:end="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rtl w:val="true"/>
        </w:rPr>
      </w:r>
    </w:p>
    <w:p>
      <w:pPr>
        <w:pStyle w:val="Style8"/>
        <w:ind w:end="0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Heading"/>
        <w:ind w:end="0"/>
        <w:jc w:val="center"/>
        <w:rPr/>
      </w:pPr>
      <w:bookmarkStart w:id="12" w:name="LastJudge"/>
      <w:bookmarkStart w:id="13" w:name="PsakDin"/>
      <w:bookmarkEnd w:id="12"/>
      <w:bookmarkEnd w:id="13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דין</w:t>
      </w:r>
    </w:p>
    <w:p>
      <w:pPr>
        <w:pStyle w:val="Heading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  <w:rtl w:val="true"/>
        </w:rPr>
        <w:t>.</w:t>
        <w:tab/>
      </w:r>
      <w:bookmarkStart w:id="16" w:name="ABSTRACT_START"/>
      <w:bookmarkEnd w:id="16"/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sz w:val="28"/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פרסום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והצגת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תועבה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214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</w:t>
      </w:r>
      <w:r>
        <w:rPr>
          <w:sz w:val="28"/>
        </w:rPr>
        <w:t>3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</w:t>
      </w:r>
      <w:hyperlink r:id="rId4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+ </w:t>
      </w:r>
      <w:r>
        <w:rPr>
          <w:sz w:val="28"/>
        </w:rPr>
        <w:t>2</w:t>
      </w:r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</w:t>
      </w:r>
      <w:hyperlink r:id="rId5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הגנת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הפרטיות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1981</w:t>
      </w:r>
      <w:r>
        <w:rPr>
          <w:sz w:val="28"/>
          <w:rtl w:val="true"/>
        </w:rPr>
        <w:t xml:space="preserve">. </w:t>
      </w:r>
      <w:bookmarkStart w:id="17" w:name="ABSTRACT_END"/>
      <w:bookmarkEnd w:id="17"/>
      <w:r>
        <w:rPr>
          <w:sz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ספור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אגוז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המציצים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בתל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וצילם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בידיעתם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צילומים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במכשיר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הסלולארי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ותמונות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שצולמו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נמחקו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דפליג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הילדים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גירוי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ועוררות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מסוכנותו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במוקד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הכולל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התסקיר</w:t>
      </w:r>
    </w:p>
    <w:p>
      <w:pPr>
        <w:pStyle w:val="Normal"/>
        <w:ind w:hanging="720" w:start="720"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מהתסקיר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לביהמ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מאופיין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בדפוס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בעייתית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החוזר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ומתבטא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בקטינים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הסובל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מסטייה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פדופילית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צילם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ומזדמנים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לתפיסתו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בתכנית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שילובו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הטיפולית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חצי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תרופתי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להערכת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ממוקד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וסיפוק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צרכיו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ברצונם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וצרכיהם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קרבנותיו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בבחור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הדחפים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בדחפיו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ונשקפת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בקטינים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8"/>
        </w:rPr>
        <w:t>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בהרשעתו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color w:val="000000"/>
          <w:sz w:val="28"/>
          <w:sz w:val="28"/>
          <w:rtl w:val="true"/>
        </w:rPr>
        <w:t>תפ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ח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5084/99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לשונו</w:t>
      </w:r>
      <w:r>
        <w:rPr>
          <w:sz w:val="28"/>
          <w:rtl w:val="true"/>
        </w:rPr>
        <w:t>:</w:t>
      </w:r>
    </w:p>
    <w:p>
      <w:pPr>
        <w:pStyle w:val="Normal"/>
        <w:ind w:start="1440" w:end="709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שנתיים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תנאי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והתנאי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יעבור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3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כלשהי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יסוד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אלימות</w:t>
      </w:r>
      <w:r>
        <w:rPr>
          <w:b/>
          <w:bCs/>
          <w:sz w:val="28"/>
          <w:rtl w:val="true"/>
        </w:rPr>
        <w:t>"</w:t>
      </w:r>
    </w:p>
    <w:p>
      <w:pPr>
        <w:pStyle w:val="Style11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Style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כהגדרתם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בבסיס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סטייתו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המיניים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תועבה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סימן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'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"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sz w:val="24"/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ונשאלת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להרחיב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במובהק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נראה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מזהירין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פוגענית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מידתית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ן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תועבה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ממושכת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שהונחו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לפתחי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וממסוכנותו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האינדיבידואליות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hyperlink r:id="rId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.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433/89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אטיאס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מג</w:t>
        </w:r>
      </w:hyperlink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</w:rPr>
        <w:t>170</w:t>
      </w:r>
      <w:r>
        <w:rPr>
          <w:sz w:val="24"/>
          <w:rtl w:val="true"/>
        </w:rPr>
        <w:t xml:space="preserve">; </w:t>
      </w:r>
      <w:r>
        <w:rPr>
          <w:sz w:val="24"/>
        </w:rPr>
        <w:t>175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אילון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709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יטילו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יזכום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מעשיהם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חייבום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והאחריות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שכמם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תרבוץ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קצינת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709"/>
        <w:jc w:val="both"/>
        <w:rPr/>
      </w:pPr>
      <w:r>
        <w:rPr>
          <w:rFonts w:cs="Times New Roman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זקוק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להתערבות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טיפולית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אינטנסיבית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ופיקוחית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סגורה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שתתן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לצרכיו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היממה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לשלוט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בדחפיו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המיניים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להקטין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הסיכון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בעתיד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צולמו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ובוטה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המחשבה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שצילום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וסיפוק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ופלצות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ומטיבן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וממסוכנות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מוגבלת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מותאמת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20/8/07</w:t>
      </w:r>
      <w:r>
        <w:rPr>
          <w:sz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השחרור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כוחן חיותה </w:t>
      </w:r>
      <w:r>
        <w:rPr>
          <w:rFonts w:cs="David" w:ascii="David" w:hAnsi="David"/>
          <w:color w:val="000000"/>
          <w:sz w:val="22"/>
          <w:szCs w:val="22"/>
        </w:rPr>
        <w:t>54678313-6136/07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>, ‏</w:t>
      </w:r>
      <w:r>
        <w:rPr>
          <w:b/>
          <w:bCs/>
          <w:sz w:val="22"/>
        </w:rPr>
        <w:t>12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2008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 xml:space="preserve">. 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1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אביגיל</w:t>
      </w:r>
    </w:p>
    <w:p>
      <w:pPr>
        <w:pStyle w:val="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1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1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/Users/liorb/Downloads/study2025-p2/s07006136-194.doc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6136/07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קורידו שלמה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-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1">
    <w:name w:val="כוחן"/>
    <w:basedOn w:val="Normal"/>
    <w:qFormat/>
    <w:pPr>
      <w:ind w:hanging="0" w:start="0" w:end="0"/>
      <w:jc w:val="both"/>
    </w:pPr>
    <w:rPr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163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1631" TargetMode="External"/><Relationship Id="rId6" Type="http://schemas.openxmlformats.org/officeDocument/2006/relationships/hyperlink" Target="http://www.nevo.co.il/case/17941073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2016-03-13T17:35:00Z</dcterms:created>
  <dc:creator> </dc:creator>
  <dc:description/>
  <cp:keywords/>
  <dc:language>en-IL</dc:language>
  <cp:lastModifiedBy>hofit</cp:lastModifiedBy>
  <cp:lastPrinted>2008-03-12T09:23:00Z</cp:lastPrinted>
  <dcterms:modified xsi:type="dcterms:W3CDTF">2016-03-13T17:35:00Z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קורידו שלמה</vt:lpwstr>
  </property>
  <property fmtid="{D5CDD505-2E9C-101B-9397-08002B2CF9AE}" pid="4" name="CASENOTES1">
    <vt:lpwstr>ProcID=210&amp;PartA=5084&amp;PartC=99</vt:lpwstr>
  </property>
  <property fmtid="{D5CDD505-2E9C-101B-9397-08002B2CF9AE}" pid="5" name="CASESLISTTMP1">
    <vt:lpwstr>17941073</vt:lpwstr>
  </property>
  <property fmtid="{D5CDD505-2E9C-101B-9397-08002B2CF9AE}" pid="6" name="CITY">
    <vt:lpwstr>ת"א</vt:lpwstr>
  </property>
  <property fmtid="{D5CDD505-2E9C-101B-9397-08002B2CF9AE}" pid="7" name="DATE">
    <vt:lpwstr>20080312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כוחן חיותה</vt:lpwstr>
  </property>
  <property fmtid="{D5CDD505-2E9C-101B-9397-08002B2CF9AE}" pid="11" name="LAWLISTTMP1">
    <vt:lpwstr>70301</vt:lpwstr>
  </property>
  <property fmtid="{D5CDD505-2E9C-101B-9397-08002B2CF9AE}" pid="12" name="LAWLISTTMP2">
    <vt:lpwstr>71631</vt:lpwstr>
  </property>
  <property fmtid="{D5CDD505-2E9C-101B-9397-08002B2CF9AE}" pid="13" name="LAWYER">
    <vt:lpwstr>מזרחי;זיו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6136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N_DATE">
    <vt:lpwstr>38020080312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