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משפט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181/02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לתעבורה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03/11/2002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אורנה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שדמי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bookmarkStart w:id="0" w:name="שם_א"/>
            <w:bookmarkEnd w:id="0"/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און</w:t>
            </w:r>
            <w:bookmarkStart w:id="1" w:name="בא_כוח_א"/>
            <w:bookmarkEnd w:id="1"/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bookmarkStart w:id="2" w:name="שם_ב"/>
            <w:bookmarkEnd w:id="2"/>
            <w:r>
              <w:rPr>
                <w:sz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יהודה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דגהו</w:t>
            </w:r>
          </w:p>
        </w:tc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גולן</w:t>
            </w:r>
            <w:bookmarkStart w:id="3" w:name="בא_כוח_ב"/>
            <w:bookmarkEnd w:id="3"/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</w:tbl>
    <w:p>
      <w:pPr>
        <w:pStyle w:val="Style8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התביעה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והנאשם</w:t>
            </w:r>
            <w:r>
              <w:rPr>
                <w:sz w:val="24"/>
                <w:rtl w:val="true"/>
              </w:rPr>
              <w:t>.</w:t>
            </w:r>
          </w:p>
        </w:tc>
        <w:tc>
          <w:tcPr>
            <w:tcW w:w="133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נוכחים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Heading5"/>
        <w:spacing w:lineRule="auto" w:line="240"/>
        <w:ind w:end="0"/>
        <w:jc w:val="center"/>
        <w:rPr/>
      </w:pPr>
      <w:bookmarkStart w:id="4" w:name="סוג_מסמך"/>
      <w:bookmarkEnd w:id="4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bookmarkStart w:id="5" w:name="ABSTRACT_START"/>
      <w:bookmarkEnd w:id="5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תקף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בתעבורה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מתפרסות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1991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וינהג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התייצב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בהעדרו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לנהוג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קנסות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פסילות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ולנהוג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ביניהן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זיוף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והתחזות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מזלזל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מזלזל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ובטחונו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לציבור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קראתי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ומלאכת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לנהוג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רישוי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6" w:name="ABSTRACT_END"/>
      <w:bookmarkEnd w:id="6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הנוהגים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להרתיע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מלנהוג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המרהיב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לוקח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וישלח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324/88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אלאעסם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פד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</w:t>
      </w:r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שלישי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728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ושכיחותה</w:t>
      </w:r>
      <w:r>
        <w:rPr>
          <w:sz w:val="24"/>
          <w:rtl w:val="true"/>
        </w:rPr>
        <w:t>...".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rtl w:val="true"/>
        </w:rPr>
        <w:t>ברע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1812/94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תקדין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94</w:t>
      </w:r>
      <w:r>
        <w:rPr>
          <w:sz w:val="24"/>
          <w:rtl w:val="true"/>
        </w:rPr>
        <w:t xml:space="preserve"> (</w:t>
      </w:r>
      <w:r>
        <w:rPr>
          <w:sz w:val="24"/>
        </w:rPr>
        <w:t>2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2366</w:t>
      </w:r>
      <w:r>
        <w:rPr>
          <w:sz w:val="24"/>
          <w:rtl w:val="true"/>
        </w:rPr>
        <w:t xml:space="preserve">]  </w:t>
      </w:r>
      <w:r>
        <w:rPr>
          <w:sz w:val="24"/>
          <w:sz w:val="24"/>
          <w:rtl w:val="true"/>
        </w:rPr>
        <w:t>נפסק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מרכיביו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הולמת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שתשתנה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ותונחה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>".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overflowPunct w:val="false"/>
        <w:spacing w:lineRule="auto" w:line="240"/>
        <w:ind w:hanging="720" w:start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rtl w:val="true"/>
        </w:rPr>
        <w:t>הנני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פוסלת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מלקבל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מלהחזיק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רישיון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נהיגה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overflowPunct w:val="false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overflowPunct w:val="false"/>
        <w:spacing w:lineRule="auto" w:line="240"/>
        <w:ind w:hanging="720" w:start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rtl w:val="true"/>
        </w:rPr>
        <w:t>הנני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הפעלת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פסילת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רישיון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הנהיגה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שנפסק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תעבורה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רמלה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12/6/02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בתיק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54/02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חופף</w:t>
      </w:r>
      <w:r>
        <w:rPr>
          <w:b/>
          <w:bCs/>
          <w:sz w:val="24"/>
          <w:rtl w:val="true"/>
        </w:rPr>
        <w:t>.</w:t>
      </w:r>
    </w:p>
    <w:p>
      <w:pPr>
        <w:pStyle w:val="Normal"/>
        <w:overflowPunct w:val="false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overflowPunct w:val="false"/>
        <w:spacing w:lineRule="auto" w:line="240"/>
        <w:ind w:hanging="720" w:start="72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 xml:space="preserve">. </w:t>
        <w:tab/>
      </w:r>
      <w:r>
        <w:rPr>
          <w:b/>
          <w:b/>
          <w:bCs/>
          <w:sz w:val="24"/>
          <w:sz w:val="24"/>
          <w:rtl w:val="true"/>
        </w:rPr>
        <w:t>הנני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מפעילה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הוטל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לתעבורה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רמלה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בתיק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54/02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12/6/02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overflowPunct w:val="false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overflowPunct w:val="false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overflowPunct w:val="false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overflowPunct w:val="false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בפומבי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3/11/02</w:t>
      </w:r>
      <w:r>
        <w:rPr>
          <w:b/>
          <w:bCs/>
          <w:sz w:val="24"/>
          <w:rtl w:val="true"/>
        </w:rPr>
        <w:t xml:space="preserve">,  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overflowPunct w:val="false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283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42"/>
        <w:gridCol w:w="993"/>
      </w:tblGrid>
      <w:tr>
        <w:trPr/>
        <w:tc>
          <w:tcPr>
            <w:tcW w:w="1842" w:type="dxa"/>
            <w:tcBorders>
              <w:bottom w:val="single" w:sz="6" w:space="0" w:color="000000"/>
            </w:tcBorders>
          </w:tcPr>
          <w:p>
            <w:pPr>
              <w:pStyle w:val="Normal"/>
              <w:overflowPunct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993" w:type="dxa"/>
            <w:tcBorders/>
          </w:tcPr>
          <w:p>
            <w:pPr>
              <w:pStyle w:val="Normal"/>
              <w:overflowPunct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חתימה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overflowPunct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שדמי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שופטת</w:t>
            </w:r>
          </w:p>
        </w:tc>
        <w:tc>
          <w:tcPr>
            <w:tcW w:w="993" w:type="dxa"/>
            <w:tcBorders/>
          </w:tcPr>
          <w:p>
            <w:pPr>
              <w:pStyle w:val="Normal"/>
              <w:overflowPunct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overflowPunct w:val="false"/>
        <w:spacing w:lineRule="auto" w:line="240"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התארגנות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השחרור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ההליכים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overflowPunct w:val="false"/>
        <w:spacing w:lineRule="auto" w:line="240"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התביעה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מתנגדת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חושבת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ולהתארגן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Heading1"/>
        <w:spacing w:lineRule="auto" w:line="240"/>
        <w:ind w:end="0"/>
        <w:jc w:val="center"/>
        <w:rPr>
          <w:sz w:val="24"/>
          <w:szCs w:val="24"/>
        </w:rPr>
      </w:pPr>
      <w:bookmarkStart w:id="7" w:name="Decision1"/>
      <w:r>
        <w:rPr>
          <w:sz w:val="24"/>
          <w:sz w:val="24"/>
          <w:szCs w:val="24"/>
          <w:rtl w:val="true"/>
        </w:rPr>
        <w:t>החלטה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מוצאת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בנימוקי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לדחיית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גז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המצדיקה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דחייה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לפנים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משורת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גז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</w:t>
      </w:r>
      <w:r>
        <w:rPr>
          <w:b/>
          <w:bCs/>
          <w:sz w:val="24"/>
          <w:rtl w:val="true"/>
        </w:rPr>
        <w:t>-</w:t>
      </w:r>
      <w:r>
        <w:rPr>
          <w:b/>
          <w:bCs/>
          <w:sz w:val="24"/>
        </w:rPr>
        <w:t>45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מהיום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הערבויות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הוטלו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1745/02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יחולו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החלטה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אחרת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b/>
          <w:bCs/>
          <w:color w:val="FFFFFF"/>
          <w:sz w:val="24"/>
          <w:szCs w:val="4"/>
        </w:rPr>
        <w:t>5129371</w:t>
      </w: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בפומבי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בחשון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בנובמבר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2002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tbl>
      <w:tblPr>
        <w:tblW w:w="26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שדמי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אורנה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ע</w:t>
      </w:r>
      <w:bookmarkEnd w:id="7"/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418" w:footer="720" w:bottom="1440"/>
      <w:lnNumType w:countBy="1" w:restart="newPage" w:distance="283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/Users/liorb/Downloads/study2025-p2/st02181.doc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181/02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יהודה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דגהו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center"/>
      <w:outlineLvl w:val="5"/>
    </w:pPr>
    <w:rPr>
      <w:b/>
      <w:bCs/>
      <w:sz w:val="32"/>
      <w:szCs w:val="30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2002-11-05T10:49:00Z</dcterms:created>
  <dc:creator>Dror OZeri</dc:creator>
  <dc:description/>
  <dc:language>en-IL</dc:language>
  <cp:lastModifiedBy>***</cp:lastModifiedBy>
  <cp:lastPrinted>2002-11-03T08:47:00Z</cp:lastPrinted>
  <dcterms:modified xsi:type="dcterms:W3CDTF">2002-11-05T10:49:00Z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יהודה דגהו</vt:lpwstr>
  </property>
  <property fmtid="{D5CDD505-2E9C-101B-9397-08002B2CF9AE}" pid="4" name="CITY">
    <vt:lpwstr>ת"א</vt:lpwstr>
  </property>
  <property fmtid="{D5CDD505-2E9C-101B-9397-08002B2CF9AE}" pid="5" name="DATE">
    <vt:lpwstr>20021103</vt:lpwstr>
  </property>
  <property fmtid="{D5CDD505-2E9C-101B-9397-08002B2CF9AE}" pid="6" name="DBPath">
    <vt:lpwstr>prod\ESDynamic.nsf</vt:lpwstr>
  </property>
  <property fmtid="{D5CDD505-2E9C-101B-9397-08002B2CF9AE}" pid="7" name="DBServer">
    <vt:lpwstr>CN=TLV-Avoda-01/OU=TelAviv/OU=Server/O=Courts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אורנה שדמי</vt:lpwstr>
  </property>
  <property fmtid="{D5CDD505-2E9C-101B-9397-08002B2CF9AE}" pid="11" name="LAWYER">
    <vt:lpwstr>בית און;גולן</vt:lpwstr>
  </property>
  <property fmtid="{D5CDD505-2E9C-101B-9397-08002B2CF9AE}" pid="12" name="NameForLog">
    <vt:lpwstr>פל 000181/02</vt:lpwstr>
  </property>
  <property fmtid="{D5CDD505-2E9C-101B-9397-08002B2CF9AE}" pid="13" name="NotesDocForm">
    <vt:lpwstr>frmDocument</vt:lpwstr>
  </property>
  <property fmtid="{D5CDD505-2E9C-101B-9397-08002B2CF9AE}" pid="14" name="NotesDocStatus">
    <vt:lpwstr>1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181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PUBLISHED">
    <vt:lpwstr/>
  </property>
  <property fmtid="{D5CDD505-2E9C-101B-9397-08002B2CF9AE}" pid="22" name="TYPE">
    <vt:lpwstr>7</vt:lpwstr>
  </property>
  <property fmtid="{D5CDD505-2E9C-101B-9397-08002B2CF9AE}" pid="23" name="VOLUME">
    <vt:lpwstr/>
  </property>
  <property fmtid="{D5CDD505-2E9C-101B-9397-08002B2CF9AE}" pid="24" name="WORDNUMPAGES">
    <vt:lpwstr>3</vt:lpwstr>
  </property>
  <property fmtid="{D5CDD505-2E9C-101B-9397-08002B2CF9AE}" pid="25" name="decisionsNumber">
    <vt:r8>1</vt:r8>
  </property>
</Properties>
</file>