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ההרכב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רויטל 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אריאל 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יורם צלקובניק </w:t>
            </w:r>
          </w:p>
        </w:tc>
        <w:tc>
          <w:tcPr>
            <w:tcW w:w="3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1010-09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ascii="Arial" w:hAnsi="Arial" w:eastAsia="Arial" w:cs="Arial"/>
          <w:b/>
          <w:bCs/>
        </w:rPr>
      </w:pPr>
      <w:bookmarkStart w:id="0" w:name="LastJudge"/>
      <w:bookmarkEnd w:id="0"/>
      <w:r>
        <w:rPr>
          <w:rFonts w:eastAsia="Arial" w:cs="Arial" w:ascii="Arial" w:hAnsi="Arial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br/>
            </w:r>
            <w:r>
              <w:rPr>
                <w:rFonts w:ascii="Arial" w:hAnsi="Arial" w:cs="Arial"/>
                <w:rtl w:val="true"/>
              </w:rPr>
              <w:t xml:space="preserve">מדינת ישראל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אלכס דרנבוים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           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מאשימה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חוסאם עטאר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חביב לביב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40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ביטחון המדינה</w:t>
      </w:r>
      <w:bookmarkStart w:id="10" w:name="ABSTRACT_END"/>
      <w:bookmarkEnd w:id="10"/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המפורט בכתב אישום מתוקן שהוגש 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נעשה לאחר שמיעת ראיות המאשימה וטרם תחילת פרשת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כולל הסכמה במישור העונשי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ולעניין זה טענו הצדדים 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לזרוע הצבאית של 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שכינויו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גדודי עז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אלקסאם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הגדודים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ובמסגרת זו השתתף עם חברי החוליה שלו בשמירות ליליות חמושות כנגד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ריבאט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השמירה נעשתה בפרדס הסמוך לתחנת גז ברצועת עזה והנאשם וחברי החוליה היו חמושים במטול </w:t>
      </w:r>
      <w:r>
        <w:rPr>
          <w:rFonts w:cs="Arial" w:ascii="Arial" w:hAnsi="Arial"/>
        </w:rPr>
        <w:t>RPG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רוסר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ורימון 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השתתף בשמירות אלה עד תאריך </w:t>
      </w:r>
      <w:r>
        <w:rPr>
          <w:rFonts w:cs="Arial" w:ascii="Arial" w:hAnsi="Arial"/>
        </w:rPr>
        <w:t>7.12.08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שהגדודים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הוכרזו כהתאחדות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וארגון החמאס הוכרז כארגון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 שהשמירות החמושות של חברי החוליה נועדו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שיגיעו לאזור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באישום זה בעבירות של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15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85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</w:t>
      </w:r>
      <w:hyperlink r:id="rId16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שעת חירום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cs="Arial" w:ascii="Arial" w:hAnsi="Arial"/>
          <w:b/>
          <w:bCs/>
          <w:sz w:val="22"/>
          <w:szCs w:val="22"/>
        </w:rPr>
        <w:t>1945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בקשירת קשר לפשע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רצח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לפי סעיף </w:t>
      </w:r>
      <w:hyperlink r:id="rId17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499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</w:t>
      </w:r>
      <w:hyperlink r:id="rId18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תשל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ז – </w:t>
      </w:r>
      <w:r>
        <w:rPr>
          <w:rFonts w:cs="Arial" w:ascii="Arial" w:hAnsi="Arial"/>
          <w:b/>
          <w:bCs/>
          <w:sz w:val="22"/>
          <w:szCs w:val="22"/>
        </w:rPr>
        <w:t>1977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ובעבירות נשק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הובלת 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לפי סעיף </w:t>
      </w:r>
      <w:hyperlink r:id="rId19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144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ascii="Arial" w:hAnsi="Arial" w:cs="Arial"/>
          <w:rtl w:val="true"/>
        </w:rPr>
        <w:t xml:space="preserve"> בכתב 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לסוף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הצטרף הנאשם לפלוגה אחרת של הגדודים והשתתף באימון צבאי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למטרת הכשרתו בשיריון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ובמסגרת זו הוכשר בירי טילי יאסין ופצצות </w:t>
      </w:r>
      <w:r>
        <w:rPr>
          <w:rFonts w:cs="Arial" w:ascii="Arial" w:hAnsi="Arial"/>
        </w:rPr>
        <w:t>RPG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משהודה הנאשם בעובדות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סעיף </w:t>
      </w:r>
      <w:hyperlink r:id="rId20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85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לתקנות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143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בכתב 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האימון הצבאי שתואר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ביצעו הנאשם וחברי חולייתו פעילות לילית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באורח סדיר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 שמירה חמושה 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ריבאט</w:t>
      </w:r>
      <w:r>
        <w:rPr>
          <w:rFonts w:cs="Arial" w:ascii="Arial" w:hAnsi="Arial"/>
          <w:rtl w:val="true"/>
        </w:rPr>
        <w:t xml:space="preserve">" - </w:t>
      </w:r>
      <w:r>
        <w:rPr>
          <w:rFonts w:ascii="Arial" w:hAnsi="Arial" w:cs="Arial"/>
          <w:rtl w:val="true"/>
        </w:rPr>
        <w:t>במוצב מודיעין של הרשות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וחבריו נושאים על גופם אפודים וחמושים כל אחד ברוס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 ורימון 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נשא עימו גם טיל יאסין והיה מופקד על תפעולו בשעת הצורך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הכוונה היתה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אם יגיעו לאזור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ולגרום למותם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בשל כך הורשע הנאשם בעבירות של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פעילות בהתאחדות בלתי מותרת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סעיף </w:t>
      </w:r>
      <w:hyperlink r:id="rId23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85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לתקנות ובקשירת קשר לפשע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רצח</w:t>
      </w:r>
      <w:r>
        <w:rPr>
          <w:rFonts w:cs="Arial" w:ascii="Arial" w:hAnsi="Arial"/>
          <w:b/>
          <w:bCs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סעיף </w:t>
      </w:r>
      <w:hyperlink r:id="rId24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499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ובעבירות נשק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הובלת נשק</w:t>
      </w:r>
      <w:r>
        <w:rPr>
          <w:rFonts w:cs="Arial" w:ascii="Arial" w:hAnsi="Arial"/>
          <w:b/>
          <w:bCs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סעיף </w:t>
      </w:r>
      <w:hyperlink r:id="rId26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144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u w:val="single"/>
          <w:rtl w:val="true"/>
        </w:rPr>
        <w:t>האישום הרביעי</w:t>
      </w:r>
      <w:r>
        <w:rPr>
          <w:rFonts w:ascii="Arial" w:hAnsi="Arial" w:cs="Arial"/>
          <w:rtl w:val="true"/>
        </w:rPr>
        <w:t xml:space="preserve">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אוקטובר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שני פעילים נוספים בגדודים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להטמין מטען חבלה נגד טנקים באזור כיכר מסויימת 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חבריו של הנאשם הניחו את המטען מתחת לאספלט בכיכר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להפעילו כנגד טנקים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לכשיגיעו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תפקידו של הנאשם היה לאבטח את שני חבריו בעת הנחת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נכנסו לאזור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אחד מחברי החוליה לנאשם כי המטען אכן הופעל והתפוצץ על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בשל כך הורשע הנאשם בעבירות של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ניסיון לרצח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לפי</w:t>
      </w:r>
      <w:r>
        <w:rPr>
          <w:rFonts w:ascii="Arial" w:hAnsi="Arial" w:cs="Arial"/>
          <w:rtl w:val="true"/>
        </w:rPr>
        <w:t xml:space="preserve"> סעיף </w:t>
      </w:r>
      <w:hyperlink r:id="rId27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305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ובעבירות נשק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הובלת נשק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סעיף </w:t>
      </w:r>
      <w:hyperlink r:id="rId29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144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הוא יליד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תושב בית להיא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טרם מעצרו בינואר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לו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בטיעוני המאשימה לעונש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שהוגשו בכתב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הוטעמו שיקולי הרתעת הפרט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והודגשה החומרה היתרה של מעורבות פעילה של הנאשם בהוצאה לפועל של פיגוע תופת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שנועד להרוג חיילים ישראליים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ואך בנס הסתיים ללא קורבנות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פרשת המטען נגד טנקים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זאת לצד פעילות ממושכת בשמירות חמושות שמטרתן להמתין לבואם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ולהורגם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מצביעה על כך שהנאשם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שידרג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יכולותיו ומיומנותו כלוחם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שעבר קורס להפעלת נשק ומונה כאחראי להפעלת טיל היאסין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הצטרף לחוליה שבה פעל מדעת ומרצון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וביודעו שהמטרה היא לפגוע בישראלים ממניעים לאומניים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שביכולתו להוצאת המזימה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והתוצאה הסופית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שבמסגרתה לא נפגעו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נבעה מחרטה שלו או של שותפיו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התבקשנו לייחס חומרה לפגיעה הקשה שעלולה היתה להיגרם לחיי אדם כתוצאה מהנחת מטען חבלה בציר תנועה של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ברצועת עזה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דרנבוים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להחלת אמות המידה שיש ליישם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עקרונות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מכח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hyperlink r:id="rId3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דרנבוים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הערך החברתי שנפגע בעבירות נגד ביטחון המדינה מחייב ענישה מחמירה במיוחד ומדובר בצורכי ההגנה על הציבור בישראל ועל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מהיבט זה התבקשנו להבחין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קביעת מתחם הענישה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שלושת האישומים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 בשמירות חמושות ובאימון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ולבין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החמור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שעוסק בהטמנת מטען רב עוצמה לצורכי פגיעה וקטל בחיילים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פסיקה שעליה מסתמכת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שמתחם הענישה לגבי עבירת הנחת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שתואר הינו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ביחס לשני האישומים העוסקים בשמירות חמושות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המתחם הראוי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לכל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לגבי האימונים הצבאיים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במתחם ענישה ראוי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שאינן קשורות במישרין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צויין שהאירועים המתוארים התרחשו כאשר היה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ומאחר שהוא נעצר בתחילת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נקטעה 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מרצונו הוא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התבקשנו שלא לייחס משקל רב לנסיבות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ראוי לנהוג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בעבירות ביטחון חמורות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מבקשת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על הנאשם עונש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שיכלול מאסר בפועל ארוך ומאסר על תנאי ארוך ומרתיע 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ברף הגבוה של מתחם הענישה הרלוונטי למעשים שתוארו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יובא לידי ביטוי האינטרס של הגנה על ביטחון הציבור וביטחון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הרחקה ממושכת של הנאשם מהחברה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השיקול ההרתעתי ליחיד ולרבים כאחד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לעיוננו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אישור ממוכתר הישוב שבו התגורר הנאשם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מוצג נ</w:t>
      </w:r>
      <w:r>
        <w:rPr>
          <w:rFonts w:cs="Arial" w:ascii="Arial" w:hAnsi="Arial"/>
          <w:sz w:val="22"/>
          <w:szCs w:val="22"/>
          <w:rtl w:val="true"/>
        </w:rPr>
        <w:t>/</w:t>
      </w:r>
      <w:r>
        <w:rPr>
          <w:rFonts w:cs="Arial" w:ascii="Arial" w:hAnsi="Arial"/>
          <w:sz w:val="22"/>
          <w:szCs w:val="22"/>
        </w:rPr>
        <w:t>1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לעונש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פיו הנאשם היה חקלאי בעיסוקו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ואימו סובלת ממחלות כרוניות וזקוקה לטיפול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המפרנס היחיד של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לביב סבור שאין לראות בחקיקת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הבניית שיקול הדעת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כוונה של המחוקק להביא להחמרה ברמת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צירף לעיוננו מספר החלטות שיפוטיות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של בתי משפט 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שלשיטתו תומכים באמור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סבורה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שנקודת המוצא לקביעת העונש היא רמת הענישה שהיתה קיימת לפני התיקון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ושאין לנקוט גישה המעלה את הרף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שנתייחס בראייה כוללת של מכלול העבירות שבכתב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בבואנו לשקול הפעלת עיקרון ההלימה בין חומרת המעשים ונסיבותיהם ומידת אשמו של הנאשם לבין סוג ומידת העונש שיוטל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לגישתו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חפיפה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העבירות שעניינן פעילות השמירה החמושה למיניה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ומבחינת זמן ביצוע 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נעשו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קיום הרגיעה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תהדיה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ברצועה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פוטנציאל ההתנגשות כמעט לא היה קיים והפעילות היתה בעלת אופי יותר ראוותני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האימונים הצבאיים האסורים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בכך ההגנה מעשה החופף במידה רבה את אישומי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ריבאט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במובן זה שהאימון נועד להכשיר את הנאשם לאותן שמירות ותו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טוען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בהסתמך על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שניתנו בין היתר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מותב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שמתחם הענישה הראוי לגבי עבירות השמירה החמושה והאימונים הוא בין </w:t>
      </w:r>
      <w:r>
        <w:rPr>
          <w:rFonts w:cs="Arial" w:ascii="Arial" w:hAnsi="Arial"/>
        </w:rPr>
        <w:t>3-3.5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וכי אין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כתב האישום הספציפי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לגזור הדין ברף העליון של מתחם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לאישום החמור של הנחת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לביב שהנאשם לא הניח אותו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ותפקידו היה זוטר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מאבטח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ושאין ראיה שהמטען בכלל התפוצץ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לגרימת נזק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הענישה שהסנגור טוען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בהסתמך על פסיקה שהגיש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בזיקה לאישום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בין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טוען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שלמעשה פעולות הנאשם בהקשר אישום זה קרובות באופיין לסיוע לביצוע העבירה יותר מאשר לעבירת ניסיון הרצח אשר יוחסה לו ושבה הודה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מכל מקום – עותר הוא להטלת מאסר בגבול התחתון של המתחם האמור לאור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זוטרות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חלקו של הנאשם במעשה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ביקש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לביב ליתן משקל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במשפחתו שאותה הוא פרנס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אמו החולנית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הממושך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ניהול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 מאז ביצוע העבירות ובעצם ההודאה ונטילת האחריות מצד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טיעוני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הנאשם רחמים לעת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הגדיר כטעות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וציין שהוא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 נשוי אך חודשיים כאשר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ותיאר את מצבה הקשה של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מחלת אמו ואת נטל הפרנסה שבו נשא טרם המעצר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עד כאן סקרנו טיעוני הצדדים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בבואנו לשקלל כל האמור ולהטיל על הנאשם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העקרונות והשיקולים המנחים המותווים כיום 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hyperlink r:id="rId3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רואים  צורך לקבוע עמדה בשאלה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שהציף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לביב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מטרת המחוקק היתה להביא להחמרה בענישה אם לאו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המחוקק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מטרת התיקון הינה לקבוע את העקרונות והשיקולים המנחים בענישה ואת המשקל שיש לתת להם על מנת לקבוע 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בסיס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עיקרון העל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בסעיפים </w:t>
        </w:r>
        <w:r>
          <w:rPr>
            <w:rStyle w:val="Hyperlink"/>
            <w:rFonts w:cs="Arial" w:ascii="Arial" w:hAnsi="Arial"/>
          </w:rPr>
          <w:t>40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 ו </w:t>
      </w:r>
      <w:hyperlink r:id="rId33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של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עלינו לחתור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להטלת עונש שיהיה מתאים והולם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הגדרת מונחים אלה ומשמעותם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יישום מושכל של מכלול השיקולים והאיזונים שנקבעו בתיקון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צורך להרהר בשאלה האם חקיקת התיקון נועדה להשגת תכלית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כזו שאינה נקובה בו ואינה עולה מפורשות מתוכנו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להחמרה ובין להקלה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מהיבט הערך החברתי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מול נסיבותיו האישיות של נאשם המובא לדין בשל עבירות 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הכלל שהשתרש בפסיקה הינו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שיקולי הגמול וההרתעה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גוברים במשקלם על אלה הקשורים בנסיבות האישיות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9349/07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חאמד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23.6.08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פורסם באתר 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נאמר 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חבה חובה עליונה להגן על תושביה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ובכלל זה גם על 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 המופקדים על בטחון המדינה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מעשי טרור המכוונים לפגוע בחיי ישראלים – חיילים או אזרחים – מחייבת ענישה מחמירה במיוחד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בסוג זה של עבירות הנסיבות האישיות של הנאשם מתגמדות במשקלן לנוכח חומרת המעשים והסיכויים הטמונים בהם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למען ידע כל גורם עויין למדינה ולתושביה כי הוא צפוי לעונש חמור ביותר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אם ימצא מעורב בפעולות טרור שנועדו לפגוע בביטחון אזרחי ישראל ולקטול חיים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ששיקולי ההרתעה והגנה על שלום הציבור מקבלים משקל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לעת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פשר הדבר שביהמ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מתעלם משיקולי 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נסיבות אישיות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ועדיין 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נסיבותיו המיוחדות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נבחן לגופו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ראה </w:t>
      </w:r>
      <w:hyperlink r:id="rId35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3834/07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מוחמד אבו שלוף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מיום </w:t>
      </w:r>
      <w:r>
        <w:rPr>
          <w:rFonts w:cs="Arial" w:ascii="Arial" w:hAnsi="Arial"/>
          <w:sz w:val="22"/>
          <w:szCs w:val="22"/>
        </w:rPr>
        <w:t>29.3.09</w:t>
      </w:r>
      <w:r>
        <w:rPr>
          <w:rFonts w:cs="Arial" w:ascii="Arial" w:hAnsi="Arial"/>
          <w:sz w:val="22"/>
          <w:szCs w:val="22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הזדמן לנו להתייחס לממשק שבין גבולות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הנקבע על פי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ההתחשבות בנסיבות אישיות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והבענו דעתנו כי </w:t>
      </w:r>
      <w:r>
        <w:rPr>
          <w:rFonts w:cs="Arial" w:ascii="Arial" w:hAnsi="Arial"/>
          <w:b/>
          <w:bCs/>
          <w:sz w:val="22"/>
          <w:szCs w:val="22"/>
          <w:rtl w:val="true"/>
        </w:rPr>
        <w:t>"...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לאחר התיקון לחוק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השיקולים הקשורים בנסיבות האישיות של 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ילקחו בחשבון בקביעת העונש בתוך מתחם העונש ההולם שיקבע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שהרי המתחם יקבע על פי הערך החברתי שנפגע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כמפורט לעיל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מידת הפגיעה בערך החברתי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מדיניות הענישה ונסיבות העבירה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ראה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color w:val="000000"/>
          <w:sz w:val="22"/>
          <w:sz w:val="22"/>
          <w:szCs w:val="22"/>
          <w:rtl w:val="true"/>
        </w:rPr>
        <w:t>תפ</w:t>
      </w: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sz w:val="22"/>
          <w:sz w:val="22"/>
          <w:szCs w:val="22"/>
          <w:rtl w:val="true"/>
        </w:rPr>
        <w:t xml:space="preserve">ח </w:t>
      </w:r>
      <w:hyperlink r:id="rId36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1103/06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יאסר אבו חמאד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גז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ד מיום </w:t>
      </w:r>
      <w:r>
        <w:rPr>
          <w:rFonts w:cs="Arial" w:ascii="Arial" w:hAnsi="Arial"/>
          <w:sz w:val="22"/>
          <w:szCs w:val="22"/>
        </w:rPr>
        <w:t>22.10.12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להלן</w:t>
      </w:r>
      <w:r>
        <w:rPr>
          <w:rFonts w:cs="Arial" w:ascii="Arial" w:hAnsi="Arial"/>
          <w:sz w:val="22"/>
          <w:szCs w:val="22"/>
          <w:rtl w:val="true"/>
        </w:rPr>
        <w:t>:"</w:t>
      </w:r>
      <w:r>
        <w:rPr>
          <w:rFonts w:ascii="Arial" w:hAnsi="Arial" w:cs="Arial"/>
          <w:sz w:val="22"/>
          <w:sz w:val="22"/>
          <w:szCs w:val="22"/>
          <w:rtl w:val="true"/>
        </w:rPr>
        <w:t>גז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ד אבו יאסר</w:t>
      </w:r>
      <w:r>
        <w:rPr>
          <w:rFonts w:cs="Arial" w:ascii="Arial" w:hAnsi="Arial"/>
          <w:sz w:val="22"/>
          <w:szCs w:val="22"/>
          <w:rtl w:val="true"/>
        </w:rPr>
        <w:t>"].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הנדון לפנינו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יהא עלינו לקבוע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ולשקלל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אותו 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הנסיבות הספציפיות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של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של עושה העבירה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לקבוע היכן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אותו 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למקם עונשו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אין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ובדין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שהמקרה שלפנינו מצדיק חריגה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משיקולי שיקום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סעיף </w:t>
      </w:r>
      <w:hyperlink r:id="rId37">
        <w:r>
          <w:rPr>
            <w:rStyle w:val="Hyperlink"/>
            <w:rFonts w:cs="Arial" w:ascii="Arial" w:hAnsi="Arial"/>
            <w:sz w:val="22"/>
            <w:szCs w:val="22"/>
          </w:rPr>
          <w:t>40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ד</w:t>
        </w:r>
      </w:hyperlink>
      <w:r>
        <w:rPr>
          <w:rFonts w:ascii="Arial" w:hAnsi="Arial" w:cs="Arial"/>
          <w:sz w:val="22"/>
          <w:sz w:val="22"/>
          <w:szCs w:val="22"/>
          <w:rtl w:val="true"/>
        </w:rPr>
        <w:t xml:space="preserve"> לחוק</w:t>
      </w:r>
      <w:r>
        <w:rPr>
          <w:rFonts w:cs="Arial" w:ascii="Arial" w:hAnsi="Arial"/>
          <w:sz w:val="22"/>
          <w:szCs w:val="22"/>
          <w:rtl w:val="true"/>
        </w:rPr>
        <w:t>]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משיקולי הגנה על שלום הציבור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סעיף </w:t>
      </w:r>
      <w:hyperlink r:id="rId38">
        <w:r>
          <w:rPr>
            <w:rStyle w:val="Hyperlink"/>
            <w:rFonts w:cs="Arial" w:ascii="Arial" w:hAnsi="Arial"/>
            <w:sz w:val="22"/>
            <w:szCs w:val="22"/>
          </w:rPr>
          <w:t>40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ה</w:t>
        </w:r>
      </w:hyperlink>
      <w:r>
        <w:rPr>
          <w:rFonts w:ascii="Arial" w:hAnsi="Arial" w:cs="Arial"/>
          <w:sz w:val="22"/>
          <w:sz w:val="22"/>
          <w:szCs w:val="22"/>
          <w:rtl w:val="true"/>
        </w:rPr>
        <w:t xml:space="preserve"> לחוק</w:t>
      </w:r>
      <w:r>
        <w:rPr>
          <w:rFonts w:cs="Arial" w:ascii="Arial" w:hAnsi="Arial"/>
          <w:sz w:val="22"/>
          <w:szCs w:val="22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יאסר אבו חאמד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שלעיל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תפ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ח </w:t>
      </w:r>
      <w:r>
        <w:rPr>
          <w:rFonts w:cs="Arial" w:ascii="Arial" w:hAnsi="Arial"/>
          <w:sz w:val="22"/>
          <w:szCs w:val="22"/>
        </w:rPr>
        <w:t>1103/06</w:t>
      </w:r>
      <w:r>
        <w:rPr>
          <w:rFonts w:cs="Arial" w:ascii="Arial" w:hAnsi="Arial"/>
          <w:sz w:val="22"/>
          <w:szCs w:val="22"/>
          <w:rtl w:val="true"/>
        </w:rPr>
        <w:t>],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קבענו את מתחמי הענישה ביחס לעבירות כדוגמת אלה שבהן הורשע הנאשם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ובהתבסס על פסקי דין בעניינים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שחלקם אוזכר וצוטט על ידינו בגזר הדין הנזכר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לפעילות בארגון טרור ואימונים צבאיים מטעם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ענישה של </w:t>
      </w:r>
      <w:r>
        <w:rPr>
          <w:rFonts w:cs="Arial" w:ascii="Arial" w:hAnsi="Arial"/>
        </w:rPr>
        <w:t>3-5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 xml:space="preserve">אשר לשמירות חמושות </w:t>
      </w:r>
      <w:r>
        <w:rPr>
          <w:rFonts w:cs="Arial" w:ascii="Arial" w:hAnsi="Arial"/>
          <w:sz w:val="22"/>
          <w:szCs w:val="22"/>
          <w:rtl w:val="true"/>
        </w:rPr>
        <w:t>("</w:t>
      </w:r>
      <w:r>
        <w:rPr>
          <w:rFonts w:ascii="Arial" w:hAnsi="Arial" w:cs="Arial"/>
          <w:sz w:val="22"/>
          <w:sz w:val="22"/>
          <w:szCs w:val="22"/>
          <w:rtl w:val="true"/>
        </w:rPr>
        <w:t>ריבאט</w:t>
      </w:r>
      <w:r>
        <w:rPr>
          <w:rFonts w:cs="Arial" w:ascii="Arial" w:hAnsi="Arial"/>
          <w:sz w:val="22"/>
          <w:szCs w:val="22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שתכליתן התרעה וירי לעבר חיילים באזור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קבענו מתחם שבין </w:t>
      </w:r>
      <w:r>
        <w:rPr>
          <w:rFonts w:cs="Arial" w:ascii="Arial" w:hAnsi="Arial"/>
        </w:rPr>
        <w:t>6-10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ערים אנו לכך שהסנגור במקרה הנדון כעת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הצביע בטיעוניו על פסיקה מקלה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המשקפת מתחם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דובר על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לזכור שעל פי סעיף </w:t>
      </w:r>
      <w:hyperlink r:id="rId39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),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 העונש ההולם למעשה העבירה נגזר גם מ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נסיבות הקשורות בביצוע העבירה כאמור בסעיף </w:t>
      </w:r>
      <w:r>
        <w:rPr>
          <w:rFonts w:cs="Arial" w:ascii="Arial" w:hAnsi="Arial"/>
          <w:b/>
          <w:bCs/>
          <w:sz w:val="22"/>
          <w:szCs w:val="22"/>
        </w:rPr>
        <w:t>40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ט</w:t>
      </w:r>
      <w:r>
        <w:rPr>
          <w:rFonts w:cs="Arial" w:ascii="Arial" w:hAnsi="Arial"/>
          <w:b/>
          <w:bCs/>
          <w:sz w:val="22"/>
          <w:szCs w:val="22"/>
          <w:rtl w:val="true"/>
        </w:rPr>
        <w:t>'"</w:t>
      </w:r>
      <w:r>
        <w:rPr>
          <w:rFonts w:cs="Arial" w:ascii="Arial" w:hAnsi="Arial"/>
          <w:sz w:val="22"/>
          <w:szCs w:val="22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סעיף </w:t>
      </w:r>
      <w:hyperlink r:id="rId40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מונה בין 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כאלה המשפיעות על חומרת מעשה העבירה ועל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ובהן הנזק שהיה צפוי להיגרם מביצוע העבירה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סק</w:t>
      </w:r>
      <w:r>
        <w:rPr>
          <w:rFonts w:cs="Arial" w:ascii="Arial" w:hAnsi="Arial"/>
          <w:sz w:val="22"/>
          <w:szCs w:val="22"/>
          <w:rtl w:val="true"/>
        </w:rPr>
        <w:t>' (</w:t>
      </w:r>
      <w:r>
        <w:rPr>
          <w:rFonts w:cs="Arial" w:ascii="Arial" w:hAnsi="Arial"/>
          <w:sz w:val="22"/>
          <w:szCs w:val="22"/>
        </w:rPr>
        <w:t>3</w:t>
      </w:r>
      <w:r>
        <w:rPr>
          <w:rFonts w:cs="Arial" w:ascii="Arial" w:hAnsi="Arial"/>
          <w:sz w:val="22"/>
          <w:szCs w:val="22"/>
          <w:rtl w:val="true"/>
        </w:rPr>
        <w:t xml:space="preserve">)]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וחלקו היחסי של הנאשם בביצוע העבירה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סק</w:t>
      </w:r>
      <w:r>
        <w:rPr>
          <w:rFonts w:cs="Arial" w:ascii="Arial" w:hAnsi="Arial"/>
          <w:sz w:val="22"/>
          <w:szCs w:val="22"/>
          <w:rtl w:val="true"/>
        </w:rPr>
        <w:t>' (</w:t>
      </w:r>
      <w:r>
        <w:rPr>
          <w:rFonts w:cs="Arial" w:ascii="Arial" w:hAnsi="Arial"/>
          <w:sz w:val="22"/>
          <w:szCs w:val="22"/>
        </w:rPr>
        <w:t>2</w:t>
      </w:r>
      <w:r>
        <w:rPr>
          <w:rFonts w:cs="Arial" w:ascii="Arial" w:hAnsi="Arial"/>
          <w:sz w:val="22"/>
          <w:szCs w:val="22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במקרה שלפנינו קיימות 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 כך שהנזק שצפוי היה להיגרם היה ניכר וכבד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הנאשם וחבריו היו חמושים לעייפה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בנשק קל וגם בנשק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RPG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ברימונים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האישום הראשון</w:t>
      </w:r>
      <w:r>
        <w:rPr>
          <w:rFonts w:cs="Arial" w:ascii="Arial" w:hAnsi="Arial"/>
          <w:sz w:val="22"/>
          <w:szCs w:val="22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ואף בשל כך שבחלק מהפעילות האמורה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נשוא האישום השלישי</w:t>
      </w:r>
      <w:r>
        <w:rPr>
          <w:rFonts w:cs="Arial" w:ascii="Arial" w:hAnsi="Arial"/>
          <w:sz w:val="22"/>
          <w:szCs w:val="22"/>
          <w:rtl w:val="true"/>
        </w:rPr>
        <w:t xml:space="preserve">), </w:t>
      </w:r>
      <w:r>
        <w:rPr>
          <w:rFonts w:ascii="Arial" w:hAnsi="Arial" w:cs="Arial"/>
          <w:rtl w:val="true"/>
        </w:rPr>
        <w:t>חלקו היחסי של הנאשם היה דומיננטי בתוך חולייתו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היה ממונה על הפעלת טיל היאסין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לאור ההכשרה הספציפית שקיבל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נשוא האישום השני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מכאן – מתחם הענישה האמור ראוי ורלוונטי למעשים הספציפיים המפורטים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להנחת המטען לצורך פגיעה בטנק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האישום הרביעי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קבענו בגז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חאמד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כי מתחם הענישה ההולם למעשה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הינו בין </w:t>
      </w:r>
      <w:r>
        <w:rPr>
          <w:rFonts w:cs="Arial" w:ascii="Arial" w:hAnsi="Arial"/>
        </w:rPr>
        <w:t>10-15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בבואנו לקבוע העונש ההולם למעשים שבהם הורשע הנאשם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גדרי מתחמי הענישה שצויינו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שקלנו את טיעוני הצדדים כפי שתומצתו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מדובר על האימונים וההכשרה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והשתתפותו בפעולות השמירה החמושות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ההולם אינו ברף הנמוך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שטוען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משום חלקו הדומיננטי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 הנאשם בחוליה והיותו מופקד על כלי הנשק ההרסני והמשמעותי שעמד לרשותה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טיל היאסין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משום ההצטיידות המסיבית בנשק מסוגים שונים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RPG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המעיד על כוונה ורצון לגרום נזק ונפגעים מירביים לעת התקלות אפשרית עם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משמירה הרתעתית 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ראוותנית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גרידא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הבאנו בחשבון גם את טענת הסנגור שמרבית פעולות השמירה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ציר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בוצעו בזמן הרגיעה היחסית ברצועה </w:t>
      </w:r>
      <w:r>
        <w:rPr>
          <w:rFonts w:cs="Arial" w:ascii="Arial" w:hAnsi="Arial"/>
          <w:sz w:val="22"/>
          <w:szCs w:val="22"/>
          <w:rtl w:val="true"/>
        </w:rPr>
        <w:t>("</w:t>
      </w:r>
      <w:r>
        <w:rPr>
          <w:rFonts w:ascii="Arial" w:hAnsi="Arial" w:cs="Arial"/>
          <w:sz w:val="22"/>
          <w:sz w:val="22"/>
          <w:szCs w:val="22"/>
          <w:rtl w:val="true"/>
        </w:rPr>
        <w:t>תהדיה</w:t>
      </w:r>
      <w:r>
        <w:rPr>
          <w:rFonts w:cs="Arial" w:ascii="Arial" w:hAnsi="Arial"/>
          <w:sz w:val="22"/>
          <w:szCs w:val="22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שבה פוטנציאל החיכוך וההתקלות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נמוך יחסית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לאישום הרביעי – הנחת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תפקידו של הנאשם היה לאבטח במהלך הנחתו את שני חבריו שעסקו בביצוע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בהיותו של הנאשם חוליה חיונית וחשובה במעגל המיידי של הטמנת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שכוונת החוליה היתה להפעיל המטען כנגד טנקים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ולגרום למותם של אנשי הצוות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חלקו המדוייק של כל אחד מהחברים בביצוע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הרכיב המכריע לעת גזירת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אחד מהמשתתפים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תורם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חלקו בהתאם ליכולותיו והכשרתו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– נתחשב בכך שבפועל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שלא מחמת חרטה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נגדעו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מהפעלת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בכך שמעבר לשמועה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מכלי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ששמע הנאשם על כך שהמטען אכן התפוצץ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ראייה ממשית לכך שהופעל  ושאכן היה זה כנגד טנק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האישיות שהוצגו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וכאמור משקלם היחסי אינו גדול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בעבירות ביטחון כדוגמת אלה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התחשבנו בכך שהנאשם יחסית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ושרקעו הוא ממשפחה קשת יום ואף ידועת חולי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לכך שהנאשם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שלאחר שמיעת ראיות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נאות לקבל אחריות על מעשיו ולהודות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הביע צער וחרטה על ביצועם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ראינו לנכון לגזור עונש כולל לכל האירועים שבהם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ולכל מעשי העבירה שפורטו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למכלול השיקולים שתוארו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ולצורך בקביעת עונש הולם תוך מתן ביטוי לסוגי העבירה השונים ומתחמי הענישה שתוחמו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בנסיבות לחומרא ולקולא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החלטנו לגזור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11.1.09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על כל עבירה כנגד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ככל שהנאשם יעבור ויורשע עליה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 כח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ג 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באפריל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23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300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רויטל 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54678313-1010/09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1010/09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עטאר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3.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3729/85.1.a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3729/85.1.a" TargetMode="External"/><Relationship Id="rId21" Type="http://schemas.openxmlformats.org/officeDocument/2006/relationships/hyperlink" Target="http://www.nevo.co.il/law/70301/143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3729/85.1.a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305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case/6150971" TargetMode="External"/><Relationship Id="rId35" Type="http://schemas.openxmlformats.org/officeDocument/2006/relationships/hyperlink" Target="http://www.nevo.co.il/case/5918236" TargetMode="External"/><Relationship Id="rId36" Type="http://schemas.openxmlformats.org/officeDocument/2006/relationships/hyperlink" Target="http://www.nevo.co.il/case/2378644" TargetMode="External"/><Relationship Id="rId37" Type="http://schemas.openxmlformats.org/officeDocument/2006/relationships/hyperlink" Target="http://www.nevo.co.il/law/70301/40d" TargetMode="External"/><Relationship Id="rId38" Type="http://schemas.openxmlformats.org/officeDocument/2006/relationships/hyperlink" Target="http://www.nevo.co.il/law/70301/40e" TargetMode="External"/><Relationship Id="rId39" Type="http://schemas.openxmlformats.org/officeDocument/2006/relationships/hyperlink" Target="http://www.nevo.co.il/law/70301/40c.a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2015-12-17T09:08:00Z</dcterms:created>
  <dc:creator> </dc:creator>
  <dc:description/>
  <cp:keywords/>
  <dc:language>en-IL</dc:language>
  <cp:lastModifiedBy>hofit</cp:lastModifiedBy>
  <dcterms:modified xsi:type="dcterms:W3CDTF">2015-12-17T09:08:00Z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עטאר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6150971;5918236;2378644</vt:lpwstr>
  </property>
  <property fmtid="{D5CDD505-2E9C-101B-9397-08002B2CF9AE}" pid="9" name="CITY">
    <vt:lpwstr>ב"ש</vt:lpwstr>
  </property>
  <property fmtid="{D5CDD505-2E9C-101B-9397-08002B2CF9AE}" pid="10" name="DATE">
    <vt:lpwstr>20130408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רויטל יפה כ#ץ;אריאל ואגו;יורם צלקובניק</vt:lpwstr>
  </property>
  <property fmtid="{D5CDD505-2E9C-101B-9397-08002B2CF9AE}" pid="14" name="LAWLISTTMP1">
    <vt:lpwstr>73729/085.1.a:3</vt:lpwstr>
  </property>
  <property fmtid="{D5CDD505-2E9C-101B-9397-08002B2CF9AE}" pid="15" name="LAWLISTTMP2">
    <vt:lpwstr>70301/499.a.1:2;144.b:3;143.b;305.1;040;040b;040d;040e;040c.a;040i</vt:lpwstr>
  </property>
  <property fmtid="{D5CDD505-2E9C-101B-9397-08002B2CF9AE}" pid="16" name="LAWYER">
    <vt:lpwstr>אלכס דרנבוים;חביב לביב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1010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1010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390020130408</vt:lpwstr>
  </property>
  <property fmtid="{D5CDD505-2E9C-101B-9397-08002B2CF9AE}" pid="35" name="TYPE_N_DATE">
    <vt:lpwstr>39020130408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