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20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פברואר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2011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1042-07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400"/>
        <w:gridCol w:w="24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40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המאשימה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54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די יאסין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540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אברין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85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85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11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33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143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 ז 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הסדר טיעון שנערך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שבכתב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הצדדים הייתה גם 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יעתרו במשותף להטיל על הנאשם עונש של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ומאסר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מעובדות האישום הראשון שבכתב האישום המתוקן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נפגש הנאשם ברצועת עזה עם פעיל ארגון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יהד האיסלמי הפלשתיני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ארגון שהוכרז על ידי שר הבטחון כהתאחדות בלתי מותרת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בשם אחמד ריאד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שריף ונעתר להצעתו להתגייס לג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גם נעתר להצעתו של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שריף להשתתף בפיגוע נגד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והשניים קשרו קשר לגרום למותם של ישראלים בשל היותם ישראלים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פנו השניים לפעיל בכיר בג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 בשם חאזם יאסר רחים וביקשו את אישורו לבצע את הפעולה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שקיבלו את האישור המבוקש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 הנאשם לפרדס השייך לחאזם ברצועת עזה ושם עבר אימון מטעם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המדריך באימון היה פעיל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 מוחמד אבו ליל והאימון כלל זחילות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אימוני כושר גופני ואימון ירי ברובה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 ירה הנאשם מחסנית שלמה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Cs/>
          <w:lang w:val="en-US" w:eastAsia="en-US"/>
        </w:rPr>
      </w:pPr>
      <w:bookmarkStart w:id="10" w:name="ABSTRACT_END"/>
      <w:bookmarkEnd w:id="10"/>
      <w:r>
        <w:rPr>
          <w:rFonts w:ascii="Arial" w:hAnsi="Arial" w:cs="Arial"/>
          <w:bCs/>
          <w:rtl w:val="true"/>
          <w:lang w:val="en-US" w:eastAsia="en-US"/>
        </w:rPr>
        <w:t>לאחר סיום האימון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>שב הנאשם לביתו של חאזם ושם פגש חבר גי</w:t>
      </w:r>
      <w:r>
        <w:rPr>
          <w:rFonts w:cs="Arial" w:ascii="Arial" w:hAnsi="Arial"/>
          <w:bCs/>
          <w:rtl w:val="true"/>
          <w:lang w:val="en-US" w:eastAsia="en-US"/>
        </w:rPr>
        <w:t>'</w:t>
      </w:r>
      <w:r>
        <w:rPr>
          <w:rFonts w:ascii="Arial" w:hAnsi="Arial" w:cs="Arial"/>
          <w:bCs/>
          <w:rtl w:val="true"/>
          <w:lang w:val="en-US" w:eastAsia="en-US"/>
        </w:rPr>
        <w:t>הד נוסף שצורף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בשם סאאד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חור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וחאזם הסביר לשניהם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הפיגוע אמור להתבצע כנגד הכוחות הישראליים בהתנחלות נצרים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לבקשתו של חאזם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רשמו הנאשם וסאאד צוואות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נכתב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הם מברכים את יציאתם לפיגוע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הקריאו את הצוואות מול מצלמת הוידאו שאחז חאזם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אוחזים בידם ברובה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בו ביום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20:00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הסיע חאזם במכוניתו את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סאאד ועוד שני פעילי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 לאזור נצרים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הנאשם וסאאד נשאו עמם 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ומחסניות מלאות 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תוכניתם של הקושרים הייתה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סאאד יפתח באש לעבר עמדת תצפית של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וכאשר יגיעו למקום כוחות חילוץ של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יארוב להם הנאשם ויפתח עליהם באש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כדי לממש תוכניתם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החלו הנאשם וסאאד לזחול לכיוון היעד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במהלך הזחילה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אמר סאאד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מפחד לבצע את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ולמרות נסיונות השכנוע של הנאשם לבצע את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סאאד עמד בסירובו ועל כן הפיגוע לא יצא אל הפועל והשניים חזרו למקום בו המתין להם חאזם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של מתן שירות להתאחדות בלתי מותרת – שתי עבירות לפי </w:t>
      </w:r>
      <w:hyperlink r:id="rId13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cs="Arial" w:ascii="Arial" w:hAnsi="Arial"/>
          <w:lang w:val="en-US" w:eastAsia="en-US"/>
        </w:rPr>
        <w:t>1945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החזקת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עבירה לפי </w:t>
      </w:r>
      <w:hyperlink r:id="rId15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רישא ל</w:t>
      </w:r>
      <w:hyperlink r:id="rId16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>תשל</w:t>
      </w:r>
      <w:r>
        <w:rPr>
          <w:rStyle w:val="ac-h1"/>
          <w:rFonts w:cs="Arial" w:ascii="Arial" w:hAnsi="Arial"/>
          <w:rtl w:val="true"/>
          <w:lang w:val="en-US" w:eastAsia="en-US"/>
        </w:rPr>
        <w:t>"</w:t>
      </w:r>
      <w:r>
        <w:rPr>
          <w:rStyle w:val="ac-h1"/>
          <w:rFonts w:ascii="Arial" w:hAnsi="Arial" w:cs="Arial"/>
          <w:rtl w:val="true"/>
          <w:lang w:val="en-US" w:eastAsia="en-US"/>
        </w:rPr>
        <w:t>ז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cs="Arial" w:ascii="Arial" w:hAnsi="Arial"/>
          <w:lang w:val="en-US" w:eastAsia="en-US"/>
        </w:rPr>
        <w:t>1977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ניסיון לרצח לפי </w:t>
      </w:r>
      <w:hyperlink r:id="rId17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305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נשיאת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–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שתי עבירות לפי </w:t>
      </w:r>
      <w:hyperlink r:id="rId19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רישא </w:t>
      </w:r>
      <w:hyperlink r:id="rId20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נשיאת תחמושת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–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שתי עבירות לפי </w:t>
      </w:r>
      <w:hyperlink r:id="rId21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סיפא </w:t>
      </w:r>
      <w:hyperlink r:id="rId22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ניסיון לשידול לרצח – עבירה לפי </w:t>
      </w:r>
      <w:hyperlink r:id="rId23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33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>מגע עם סוכן חוץ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25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>קשירת קשר לפשע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27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ואימונים צבאיים אסורים לפי </w:t>
      </w:r>
      <w:hyperlink r:id="rId29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143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האישום השני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האישום השישי לכתב האישום המקורי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נכנסו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לרצועת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הסכים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לבקשתו של אחד בשם אשרף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להיות שותף לשמירה על מטען חבלה שהטמין אחר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הנאשם קשר עם אשרף לרצוח ישראלים בשל היותם ישראלים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ולשם קידומו של הקשר שמר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פעיל אחר של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ולמשך יומיים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המטען שהוטמן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היות וכוחות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לא הגיעו לאזור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הייתה לנאשם הזדמנות להפעיל את המטען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נוכח מעשיו אלה הורשע הנאשם </w:t>
      </w:r>
      <w:r>
        <w:rPr>
          <w:rStyle w:val="ac-h1"/>
          <w:rFonts w:ascii="Arial" w:hAnsi="Arial" w:cs="Arial"/>
          <w:rtl w:val="true"/>
          <w:lang w:val="en-US" w:eastAsia="en-US"/>
        </w:rPr>
        <w:t>בביצוע עבירות של קשירת קשר לפשע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31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ניסיון לרצח לפי </w:t>
      </w:r>
      <w:hyperlink r:id="rId33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305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החזקת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35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רישא </w:t>
      </w:r>
      <w:hyperlink r:id="rId36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ומתן שירות להתאחדות בלתי מותרת לפי </w:t>
      </w:r>
      <w:hyperlink r:id="rId37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לתקנות ההגנה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.</w:t>
        </w:r>
      </w:hyperlink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טיעוניה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לכבד את הסדר הטיעון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אמנם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העליון 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רף הענישה בעבירות של ניסיון לרצח הוא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ואמנם כבר התחלנו בשמיעת הראיות בתיק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נוכח גילו הצעיר של הנאשם בעת ביצוע העבירות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הוא יליד </w:t>
      </w:r>
      <w:r>
        <w:rPr>
          <w:rFonts w:cs="Arial" w:ascii="Arial" w:hAnsi="Arial"/>
          <w:lang w:val="en-US" w:eastAsia="en-US"/>
        </w:rPr>
        <w:t>1985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העדר הרשעות קודמות ורצון לחסוך את המשך שמיעת הראיות בתיק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הלכה התביעה לקראתו במסגרת הסדר הטיעון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אברין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הצטרף לדברי התובעת והדגיש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בסופו של דבר לא נגרם נזק כתוצאה ממעשי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פנה אף הוא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וביקש להתחשב 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צעיר בעת ביצוע העבירות וגם הוא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נגרם נזק כתוצאה ממעשיו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יכולה להיות מחלוקת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חמורים הם עד למאוד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העמיד את תושבי מדינת ישראל בפני סכנות של ממש ורק בדרך נס לא מומשו כוונותיו הזדוניות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לא בשל חרטה מצדו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שציינה התובעת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הענישה לה עתרו הצדדים מעט מקלה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נימוקי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הפלילי הנקי של הנאשם וגילו הצעיר בעת בצוע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סבורים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הסדר הטיעון הינו ראוי וכי יש לאמצו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על כן אנו דנים את הנאשם לעונשים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שנה החל מיום המעצר – </w:t>
      </w:r>
      <w:r>
        <w:rPr>
          <w:rFonts w:cs="Arial" w:ascii="Arial" w:hAnsi="Arial"/>
          <w:lang w:val="en-US" w:eastAsia="en-US"/>
        </w:rPr>
        <w:t>5/4/07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והתנאי שהנאשם לא יעבור כל עבירה מסוג פשע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  אדר א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284" w:bottom="3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1042-07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482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ArchivingActivityID&quot; type=&quot;xs:int&quot; minOccurs=&quot;0&quot; /&gt;&#10;&#10;                &lt;xs:element name=&quot;GettingReasonID&quot; type=&quot;xs:int&quot; minOccurs=&quot;0&quot; /&gt;&#10;&#10;                &lt;xs:element name=&quot;StorageDate&quot; type=&quot;xs:dateTime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482&lt;/CaseID&gt;&#10;&#10;        &lt;CaseMonth&gt;16&lt;/CaseMonth&gt;&#10;&#10;        &lt;CaseYear&gt;2007&lt;/CaseYear&gt;&#10;&#10;        &lt;CaseNumber&gt;238359&lt;/CaseNumber&gt;&#10;&#10;        &lt;NumeratorGroupID&gt;1&lt;/NumeratorGroupID&gt;&#10;&#10;        &lt;CaseName&gt;î.é. ôø÷ìéèåú îçåæ ãøåí-ôìéìé ð' éàñéï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7&lt;/PreviousCaseYear&gt;&#10;&#10;        &lt;PreviousCaseNumber&gt;104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42-07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7-04-23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16.2.11 ðùìçä ìöããéí áô÷ñ&lt;/CaseDesc&gt;&#10;&#10;        &lt;isExistMinorSide&gt;false&lt;/isExistMinorSide&gt;&#10;&#10;        &lt;isExistMinorWitness&gt;false&lt;/isExistMinorWitness&gt;&#10;&#10;        &lt;PreviousCaseIdentifier&gt;055ôç 2007001042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1-02-20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482&lt;/CaseID&gt;&#10;&#10;        &lt;CaseMonth&gt;16&lt;/CaseMonth&gt;&#10;&#10;        &lt;CaseYear&gt;2007&lt;/CaseYear&gt;&#10;&#10;        &lt;CaseNumber&gt;238359&lt;/CaseNumber&gt;&#10;&#10;        &lt;NumeratorGroupID&gt;1&lt;/NumeratorGroupID&gt;&#10;&#10;        &lt;CaseName&gt;î.é. ôø÷ìéèåú îçåæ ãøåí-ôìéìé ð' éàñéï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7&lt;/PreviousCaseYear&gt;&#10;&#10;        &lt;PreviousCaseNumber&gt;104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42-07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7-04-23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16.2.11 ðùìçä ìöããéí áô÷ñ&lt;/CaseDesc&gt;&#10;&#10;        &lt;PreviousCaseIdentifier&gt;055ôç 2007001042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5080258&lt;/DecisionID&gt;&#10;&#10;        &lt;DecisionName&gt;âæø ãéï  îúàøéê  20/02/11  ùðéúðä ò&quot;é  øåéèì éôä ëõ&lt;/DecisionName&gt;&#10;&#10;        &lt;DecisionStatusID&gt;1&lt;/DecisionStatusID&gt;&#10;&#10;        &lt;DecisionStatusChangeDate&gt;2011-02-20T11:44:45.5970000+02:00&lt;/DecisionStatusChangeDate&gt;&#10;&#10;        &lt;DecisionSignatureDate&gt;2011-02-20T10:58:38.5000000+02:00&lt;/DecisionSignatureDate&gt;&#10;&#10;        &lt;DecisionSignatureUserID&gt;054303474@GOV.IL&lt;/DecisionSignatureUserID&gt;&#10;&#10;        &lt;DecisionCreateDate&gt;2011-02-20T11:03:43.7700000+02:00&lt;/DecisionCreateDate&gt;&#10;&#10;        &lt;DecisionChangeDate&gt;2011-02-20T11:44:47.123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12850441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20/02/11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5080258&lt;/DecisionID&gt;&#10;&#10;        &lt;CaseID&gt;32754482&lt;/CaseID&gt;&#10;&#10;        &lt;IsOriginal&gt;true&lt;/IsOriginal&gt;&#10;&#10;        &lt;IsDeleted&gt;false&lt;/IsDeleted&gt;&#10;&#10;        &lt;CaseName&gt;î.é. ôø÷ìéèåú îçåæ ãøåí-ôìéìé ð' éàñéï(òöéø)&lt;/CaseName&gt;&#10;&#10;        &lt;CaseDisplayIdentifier&gt;1042-07 úô&quot;ç&lt;/CaseDisplayIdentifier&gt;&#10;&#10;      &lt;/dt_DecisionCase&gt;&#10;&#10;      &lt;dt_DecisionJudgePanel diffgr:id=&quot;dt_DecisionJudgePanel1&quot; msdata:rowOrder=&quot;0&quot;&gt;&#10;&#10;        &lt;DecisionID&gt;75080258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5080258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5080258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5080258"/>
    <w:docVar w:name="docID" w:val="112850441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1285044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ac-h1">
    <w:name w:val="ac-h1"/>
    <w:qFormat/>
    <w:rPr>
      <w:rFonts w:cs="David"/>
      <w:sz w:val="24"/>
      <w:szCs w:val="24"/>
      <w:lang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c-p">
    <w:name w:val="ac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1.a" TargetMode="External"/><Relationship Id="rId7" Type="http://schemas.openxmlformats.org/officeDocument/2006/relationships/hyperlink" Target="http://www.nevo.co.il/law/70301/33.1" TargetMode="External"/><Relationship Id="rId8" Type="http://schemas.openxmlformats.org/officeDocument/2006/relationships/hyperlink" Target="http://www.nevo.co.il/law/70301/143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3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1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3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5.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3729/85.1.c" TargetMode="External"/><Relationship Id="rId38" Type="http://schemas.openxmlformats.org/officeDocument/2006/relationships/hyperlink" Target="http://www.nevo.co.il/law/73729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2020-03-31T10:55:00Z</dcterms:created>
  <dc:creator>סתיו צולר</dc:creator>
  <dc:description/>
  <cp:keywords/>
  <dc:language>en-IL</dc:language>
  <cp:lastModifiedBy>hofit</cp:lastModifiedBy>
  <cp:lastPrinted>2011-02-20T11:44:00Z</cp:lastPrinted>
  <dcterms:modified xsi:type="dcterms:W3CDTF">2020-03-31T10:55:00Z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מג'די יאסין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20110220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ר. יפה כ#ץ;א. ואגו;י. צלקובניק</vt:lpwstr>
  </property>
  <property fmtid="{D5CDD505-2E9C-101B-9397-08002B2CF9AE}" pid="13" name="LAWLISTTMP1">
    <vt:lpwstr>73729/085.1.a;085.1.c</vt:lpwstr>
  </property>
  <property fmtid="{D5CDD505-2E9C-101B-9397-08002B2CF9AE}" pid="14" name="LAWLISTTMP2">
    <vt:lpwstr>70301/144.a:2;305.1:2;144.b:2;033.1;011.a;499.a.1:2;143.b</vt:lpwstr>
  </property>
  <property fmtid="{D5CDD505-2E9C-101B-9397-08002B2CF9AE}" pid="15" name="LAWYER">
    <vt:lpwstr>ג'אברין;מורן גז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>1042</vt:lpwstr>
  </property>
  <property fmtid="{D5CDD505-2E9C-101B-9397-08002B2CF9AE}" pid="29" name="NEWPARTB">
    <vt:lpwstr/>
  </property>
  <property fmtid="{D5CDD505-2E9C-101B-9397-08002B2CF9AE}" pid="30" name="NEWPARTC">
    <vt:lpwstr>07</vt:lpwstr>
  </property>
  <property fmtid="{D5CDD505-2E9C-101B-9397-08002B2CF9AE}" pid="31" name="NEWPROC">
    <vt:lpwstr>תפח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>1042</vt:lpwstr>
  </property>
  <property fmtid="{D5CDD505-2E9C-101B-9397-08002B2CF9AE}" pid="37" name="PROCYEAR">
    <vt:lpwstr>07</vt:lpwstr>
  </property>
  <property fmtid="{D5CDD505-2E9C-101B-9397-08002B2CF9AE}" pid="38" name="PSAKDIN">
    <vt:lpwstr>גזר-דין</vt:lpwstr>
  </property>
  <property fmtid="{D5CDD505-2E9C-101B-9397-08002B2CF9AE}" pid="39" name="RemarkFileName">
    <vt:lpwstr>mechozi me 07 1042 273 htm</vt:lpwstr>
  </property>
  <property fmtid="{D5CDD505-2E9C-101B-9397-08002B2CF9AE}" pid="40" name="TYPE">
    <vt:lpwstr>2</vt:lpwstr>
  </property>
  <property fmtid="{D5CDD505-2E9C-101B-9397-08002B2CF9AE}" pid="41" name="TYPE_ABS_DATE">
    <vt:lpwstr>390020110220</vt:lpwstr>
  </property>
  <property fmtid="{D5CDD505-2E9C-101B-9397-08002B2CF9AE}" pid="42" name="TYPE_N_DATE">
    <vt:lpwstr>39020110220</vt:lpwstr>
  </property>
  <property fmtid="{D5CDD505-2E9C-101B-9397-08002B2CF9AE}" pid="43" name="VOLUME">
    <vt:lpwstr/>
  </property>
  <property fmtid="{D5CDD505-2E9C-101B-9397-08002B2CF9AE}" pid="44" name="WORDNUMPAGES">
    <vt:lpwstr>4</vt:lpwstr>
  </property>
</Properties>
</file>