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1074-08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דרום</w:t>
            </w:r>
            <w:r>
              <w:rPr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עמור</w:t>
            </w:r>
            <w:r>
              <w:rPr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 ח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סלוטקי – 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  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  ש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פרידלנדר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צברי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חמאדה עמור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לאה צמל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2"/>
        <w:ind w:end="0"/>
        <w:jc w:val="start"/>
        <w:rPr/>
      </w:pPr>
      <w:r>
        <w:rPr>
          <w:rtl w:val="true"/>
        </w:rPr>
        <w:t>כללי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 </w:t>
      </w:r>
      <w:r>
        <w:rPr>
          <w:rtl w:val="true"/>
        </w:rPr>
        <w:t>ופעילות</w:t>
      </w:r>
      <w:r>
        <w:rPr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מותרתנ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8">
        <w:r>
          <w:rPr>
            <w:rStyle w:val="Hyperlink"/>
            <w:rtl w:val="true"/>
          </w:rPr>
          <w:t xml:space="preserve">תקנה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 xml:space="preserve">תקנות ההגנה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 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התקנות</w:t>
      </w:r>
      <w:r>
        <w:rPr>
          <w:rtl w:val="true"/>
        </w:rPr>
        <w:t xml:space="preserve">"), </w:t>
      </w:r>
      <w:r>
        <w:rPr>
          <w:rtl w:val="true"/>
        </w:rPr>
        <w:t>ובעבירה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נשיאת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 –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–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; </w:t>
      </w:r>
      <w:r>
        <w:rPr>
          <w:rtl w:val="true"/>
        </w:rPr>
        <w:t>ובעבירה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 xml:space="preserve">תקנה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 –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Style13"/>
        <w:ind w:firstLine="720" w:end="0"/>
        <w:jc w:val="both"/>
        <w:rPr/>
      </w:pPr>
      <w:r>
        <w:rPr>
          <w:rtl w:val="true"/>
        </w:rPr>
        <w:t>הודאת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שהתייחס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2"/>
        <w:ind w:end="0"/>
        <w:jc w:val="start"/>
        <w:rPr/>
      </w:pPr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>.</w:t>
        <w:tab/>
      </w:r>
      <w:r>
        <w:rPr>
          <w:rtl w:val="true"/>
        </w:rPr>
        <w:t>להלן</w:t>
      </w:r>
      <w:r>
        <w:rPr>
          <w:rtl w:val="true"/>
        </w:rPr>
        <w:t xml:space="preserve"> </w:t>
      </w:r>
      <w:r>
        <w:rPr>
          <w:rtl w:val="true"/>
        </w:rPr>
        <w:t>תפורטנה</w:t>
      </w:r>
      <w:r>
        <w:rPr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ושבגינן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3"/>
        <w:ind w:end="0"/>
        <w:jc w:val="start"/>
        <w:rPr/>
      </w:pPr>
      <w:r>
        <w:rPr>
          <w:rtl w:val="true"/>
        </w:rPr>
        <w:t>החלק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הכללי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החלק</w:t>
      </w:r>
      <w:r>
        <w:rPr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 </w:t>
      </w:r>
      <w:r>
        <w:rPr>
          <w:rtl w:val="true"/>
        </w:rPr>
        <w:t>האסלאמי</w:t>
      </w:r>
      <w:r>
        <w:rPr>
          <w:rtl w:val="true"/>
        </w:rPr>
        <w:t xml:space="preserve"> </w:t>
      </w:r>
      <w:r>
        <w:rPr>
          <w:rtl w:val="true"/>
        </w:rPr>
        <w:t>הפלסטיני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יהאד</w:t>
      </w:r>
      <w:r>
        <w:rPr>
          <w:rtl w:val="true"/>
        </w:rPr>
        <w:t xml:space="preserve">") </w:t>
      </w:r>
      <w:r>
        <w:rPr>
          <w:rtl w:val="true"/>
        </w:rPr>
        <w:t>הוכרז</w:t>
      </w:r>
      <w:r>
        <w:rPr>
          <w:rtl w:val="true"/>
        </w:rPr>
        <w:t xml:space="preserve"> </w:t>
      </w:r>
      <w:r>
        <w:rPr>
          <w:rtl w:val="true"/>
        </w:rPr>
        <w:t>ארגון</w:t>
      </w:r>
      <w:r>
        <w:rPr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ממשלת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בתאריך</w:t>
      </w:r>
      <w:r>
        <w:rPr>
          <w:rtl w:val="true"/>
        </w:rPr>
        <w:t xml:space="preserve"> </w:t>
      </w:r>
      <w:r>
        <w:rPr/>
        <w:t>22/6/89</w:t>
      </w:r>
      <w:r>
        <w:rPr>
          <w:rtl w:val="true"/>
        </w:rPr>
        <w:t xml:space="preserve"> </w:t>
      </w:r>
      <w:r>
        <w:rPr>
          <w:rtl w:val="true"/>
        </w:rPr>
        <w:t>וכמו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הוכרז</w:t>
      </w:r>
      <w:r>
        <w:rPr>
          <w:rtl w:val="true"/>
        </w:rPr>
        <w:t xml:space="preserve"> </w:t>
      </w:r>
      <w:r>
        <w:rPr>
          <w:rtl w:val="true"/>
        </w:rPr>
        <w:t>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 </w:t>
      </w:r>
      <w:r>
        <w:rPr>
          <w:rtl w:val="true"/>
        </w:rPr>
        <w:t>בתאריך</w:t>
      </w:r>
      <w:r>
        <w:rPr>
          <w:rtl w:val="true"/>
        </w:rPr>
        <w:t xml:space="preserve"> </w:t>
      </w:r>
      <w:r>
        <w:rPr/>
        <w:t>15/9/89</w:t>
      </w:r>
      <w:r>
        <w:rPr>
          <w:rtl w:val="true"/>
        </w:rPr>
        <w:t>.</w:t>
      </w:r>
    </w:p>
    <w:p>
      <w:pPr>
        <w:pStyle w:val="3"/>
        <w:ind w:end="0"/>
        <w:jc w:val="start"/>
        <w:rPr/>
      </w:pP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הראשון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שנת</w:t>
      </w:r>
      <w:r>
        <w:rPr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tl w:val="true"/>
        </w:rPr>
        <w:t xml:space="preserve"> </w:t>
      </w:r>
      <w:r>
        <w:rPr>
          <w:rtl w:val="true"/>
        </w:rPr>
        <w:t>לחג</w:t>
      </w:r>
      <w:r>
        <w:rPr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במסגד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מסבר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המסגד</w:t>
      </w:r>
      <w:r>
        <w:rPr>
          <w:rtl w:val="true"/>
        </w:rPr>
        <w:t xml:space="preserve">") </w:t>
      </w:r>
      <w:r>
        <w:rPr>
          <w:rtl w:val="true"/>
        </w:rPr>
        <w:t>בדיר</w:t>
      </w:r>
      <w:r>
        <w:rPr>
          <w:rtl w:val="true"/>
        </w:rPr>
        <w:t xml:space="preserve"> </w:t>
      </w:r>
      <w:r>
        <w:rPr>
          <w:rtl w:val="true"/>
        </w:rPr>
        <w:t>אלבלח</w:t>
      </w:r>
      <w:r>
        <w:rPr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ובמועד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 </w:t>
      </w:r>
      <w:r>
        <w:rPr>
          <w:rtl w:val="true"/>
        </w:rPr>
        <w:t>אלעדיני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מחמד</w:t>
      </w:r>
      <w:r>
        <w:rPr>
          <w:rtl w:val="true"/>
        </w:rPr>
        <w:t xml:space="preserve">"),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להתגייס</w:t>
      </w:r>
      <w:r>
        <w:rPr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סמוך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באוסרה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כפעמיים</w:t>
      </w:r>
      <w:r>
        <w:rPr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 </w:t>
      </w:r>
      <w:r>
        <w:rPr>
          <w:rtl w:val="true"/>
        </w:rPr>
        <w:t>וסעיד</w:t>
      </w:r>
      <w:r>
        <w:rPr>
          <w:rtl w:val="true"/>
        </w:rPr>
        <w:t xml:space="preserve"> </w:t>
      </w:r>
      <w:r>
        <w:rPr>
          <w:rtl w:val="true"/>
        </w:rPr>
        <w:t>אלעדיני</w:t>
      </w:r>
      <w:r>
        <w:rPr>
          <w:rtl w:val="true"/>
        </w:rPr>
        <w:t xml:space="preserve">. </w:t>
      </w:r>
      <w:r>
        <w:rPr>
          <w:rtl w:val="true"/>
        </w:rPr>
        <w:t>אמיר</w:t>
      </w:r>
      <w:r>
        <w:rPr>
          <w:rtl w:val="true"/>
        </w:rPr>
        <w:t xml:space="preserve"> </w:t>
      </w:r>
      <w:r>
        <w:rPr>
          <w:rtl w:val="true"/>
        </w:rPr>
        <w:t>האוסרה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עיסא</w:t>
      </w:r>
      <w:r>
        <w:rPr>
          <w:rtl w:val="true"/>
        </w:rPr>
        <w:t xml:space="preserve"> </w:t>
      </w:r>
      <w:r>
        <w:rPr>
          <w:rtl w:val="true"/>
        </w:rPr>
        <w:t>עדיני</w:t>
      </w:r>
      <w:r>
        <w:rPr>
          <w:rtl w:val="true"/>
        </w:rPr>
        <w:t xml:space="preserve"> </w:t>
      </w:r>
      <w:r>
        <w:rPr>
          <w:rtl w:val="true"/>
        </w:rPr>
        <w:t>המכונה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סאהר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כחודש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תחילת</w:t>
      </w:r>
      <w:r>
        <w:rPr>
          <w:rtl w:val="true"/>
        </w:rPr>
        <w:t xml:space="preserve"> </w:t>
      </w:r>
      <w:r>
        <w:rPr>
          <w:rtl w:val="true"/>
        </w:rPr>
        <w:t>חברותו</w:t>
      </w:r>
      <w:r>
        <w:rPr>
          <w:rtl w:val="true"/>
        </w:rPr>
        <w:t xml:space="preserve"> </w:t>
      </w:r>
      <w:r>
        <w:rPr>
          <w:rtl w:val="true"/>
        </w:rPr>
        <w:t>באוסרה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המכונה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>, "</w:t>
      </w:r>
      <w:r>
        <w:rPr>
          <w:rtl w:val="true"/>
        </w:rPr>
        <w:t>סראית</w:t>
      </w:r>
      <w:r>
        <w:rPr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", </w:t>
      </w:r>
      <w:r>
        <w:rPr>
          <w:rtl w:val="true"/>
        </w:rPr>
        <w:t>האחראי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חוליה</w:t>
      </w:r>
      <w:r>
        <w:rPr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 </w:t>
      </w:r>
      <w:r>
        <w:rPr>
          <w:rtl w:val="true"/>
        </w:rPr>
        <w:t>בדיר</w:t>
      </w:r>
      <w:r>
        <w:rPr>
          <w:rtl w:val="true"/>
        </w:rPr>
        <w:t xml:space="preserve"> </w:t>
      </w:r>
      <w:r>
        <w:rPr>
          <w:rtl w:val="true"/>
        </w:rPr>
        <w:t>אלבלח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ולמחמד</w:t>
      </w:r>
      <w:r>
        <w:rPr>
          <w:rtl w:val="true"/>
        </w:rPr>
        <w:t xml:space="preserve"> </w:t>
      </w:r>
      <w:r>
        <w:rPr>
          <w:rtl w:val="true"/>
        </w:rPr>
        <w:t>להצטרף</w:t>
      </w:r>
      <w:r>
        <w:rPr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סראית</w:t>
      </w:r>
      <w:r>
        <w:rPr>
          <w:rtl w:val="true"/>
        </w:rPr>
        <w:t xml:space="preserve"> </w:t>
      </w:r>
      <w:r>
        <w:rPr>
          <w:rtl w:val="true"/>
        </w:rPr>
        <w:t>אלקודס</w:t>
      </w:r>
      <w:r>
        <w:rPr>
          <w:rtl w:val="true"/>
        </w:rPr>
        <w:t xml:space="preserve">" </w:t>
      </w:r>
      <w:r>
        <w:rPr>
          <w:rtl w:val="true"/>
        </w:rPr>
        <w:t>ולהיות</w:t>
      </w:r>
      <w:r>
        <w:rPr>
          <w:rtl w:val="true"/>
        </w:rPr>
        <w:t xml:space="preserve"> </w:t>
      </w:r>
      <w:r>
        <w:rPr>
          <w:rtl w:val="true"/>
        </w:rPr>
        <w:t>בחוליה</w:t>
      </w:r>
      <w:r>
        <w:rPr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פיקודו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. 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כשלושה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ומחמד</w:t>
      </w:r>
      <w:r>
        <w:rPr>
          <w:rtl w:val="true"/>
        </w:rPr>
        <w:t xml:space="preserve"> </w:t>
      </w:r>
      <w:r>
        <w:rPr>
          <w:rtl w:val="true"/>
        </w:rPr>
        <w:t>אימונים</w:t>
      </w:r>
      <w:r>
        <w:rPr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 </w:t>
      </w:r>
      <w:r>
        <w:rPr>
          <w:rtl w:val="true"/>
        </w:rPr>
        <w:t>השימוש</w:t>
      </w:r>
      <w:r>
        <w:rPr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 </w:t>
      </w:r>
      <w:r>
        <w:rPr>
          <w:rtl w:val="true"/>
        </w:rPr>
        <w:t>וירי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האימונים</w:t>
      </w:r>
      <w:r>
        <w:rPr>
          <w:rtl w:val="true"/>
        </w:rPr>
        <w:t xml:space="preserve"> </w:t>
      </w:r>
      <w:r>
        <w:rPr>
          <w:rtl w:val="true"/>
        </w:rPr>
        <w:t>הועברו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 </w:t>
      </w:r>
      <w:r>
        <w:rPr>
          <w:rtl w:val="true"/>
        </w:rPr>
        <w:t>והנהג</w:t>
      </w:r>
      <w:r>
        <w:rPr>
          <w:rtl w:val="true"/>
        </w:rPr>
        <w:t xml:space="preserve"> </w:t>
      </w:r>
      <w:r>
        <w:rPr>
          <w:rtl w:val="true"/>
        </w:rPr>
        <w:t>שהביאם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כשבועיים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האימון</w:t>
      </w:r>
      <w:r>
        <w:rPr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 </w:t>
      </w:r>
      <w:r>
        <w:rPr>
          <w:rtl w:val="true"/>
        </w:rPr>
        <w:t>בשמירות</w:t>
      </w:r>
      <w:r>
        <w:rPr>
          <w:rtl w:val="true"/>
        </w:rPr>
        <w:t xml:space="preserve"> </w:t>
      </w:r>
      <w:r>
        <w:rPr>
          <w:rtl w:val="true"/>
        </w:rPr>
        <w:t>חמושות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ואדי</w:t>
      </w:r>
      <w:r>
        <w:rPr>
          <w:rtl w:val="true"/>
        </w:rPr>
        <w:t xml:space="preserve"> </w:t>
      </w:r>
      <w:r>
        <w:rPr>
          <w:rtl w:val="true"/>
        </w:rPr>
        <w:t>סלקה</w:t>
      </w:r>
      <w:r>
        <w:rPr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 </w:t>
      </w:r>
      <w:r>
        <w:rPr>
          <w:rtl w:val="true"/>
        </w:rPr>
        <w:t>לגדר</w:t>
      </w:r>
      <w:r>
        <w:rPr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 </w:t>
      </w:r>
      <w:r>
        <w:rPr>
          <w:rtl w:val="true"/>
        </w:rPr>
        <w:t>ולים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דיר</w:t>
      </w:r>
      <w:r>
        <w:rPr>
          <w:rtl w:val="true"/>
        </w:rPr>
        <w:t xml:space="preserve"> </w:t>
      </w:r>
      <w:r>
        <w:rPr>
          <w:rtl w:val="true"/>
        </w:rPr>
        <w:t>אלבלח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 </w:t>
      </w:r>
      <w:r>
        <w:rPr>
          <w:rtl w:val="true"/>
        </w:rPr>
        <w:t>למותם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חיילי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שיגיעו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tl w:val="true"/>
        </w:rPr>
        <w:t xml:space="preserve"> </w:t>
      </w:r>
      <w:r>
        <w:rPr>
          <w:rtl w:val="true"/>
        </w:rPr>
        <w:t>ואבו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 </w:t>
      </w:r>
      <w:r>
        <w:rPr>
          <w:rtl w:val="true"/>
        </w:rPr>
        <w:t>שכונה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, </w:t>
      </w:r>
      <w:r>
        <w:rPr>
          <w:rtl w:val="true"/>
        </w:rPr>
        <w:t>למטע</w:t>
      </w:r>
      <w:r>
        <w:rPr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ואדי</w:t>
      </w:r>
      <w:r>
        <w:rPr>
          <w:rtl w:val="true"/>
        </w:rPr>
        <w:t xml:space="preserve"> </w:t>
      </w:r>
      <w:r>
        <w:rPr>
          <w:rtl w:val="true"/>
        </w:rPr>
        <w:t>סלקה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 </w:t>
      </w:r>
      <w:r>
        <w:rPr>
          <w:rtl w:val="true"/>
        </w:rPr>
        <w:t>ותצפית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חמישה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משעה</w:t>
      </w:r>
      <w:r>
        <w:rPr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עלות</w:t>
      </w:r>
      <w:r>
        <w:rPr>
          <w:rtl w:val="true"/>
        </w:rPr>
        <w:t xml:space="preserve"> </w:t>
      </w:r>
      <w:r>
        <w:rPr>
          <w:rtl w:val="true"/>
        </w:rPr>
        <w:t>השחר</w:t>
      </w:r>
      <w:r>
        <w:rPr>
          <w:rtl w:val="true"/>
        </w:rPr>
        <w:t xml:space="preserve">, </w:t>
      </w:r>
      <w:r>
        <w:rPr>
          <w:rtl w:val="true"/>
        </w:rPr>
        <w:t>והמתינו</w:t>
      </w:r>
      <w:r>
        <w:rPr>
          <w:rtl w:val="true"/>
        </w:rPr>
        <w:t xml:space="preserve"> </w:t>
      </w:r>
      <w:r>
        <w:rPr>
          <w:rtl w:val="true"/>
        </w:rPr>
        <w:t>להגעת</w:t>
      </w:r>
      <w:r>
        <w:rPr>
          <w:rtl w:val="true"/>
        </w:rPr>
        <w:t xml:space="preserve"> </w:t>
      </w:r>
      <w:r>
        <w:rPr>
          <w:rtl w:val="true"/>
        </w:rPr>
        <w:t>חיילי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בלאל</w:t>
      </w:r>
      <w:r>
        <w:rPr>
          <w:rtl w:val="true"/>
        </w:rPr>
        <w:t xml:space="preserve">, </w:t>
      </w:r>
      <w:r>
        <w:rPr>
          <w:rtl w:val="true"/>
        </w:rPr>
        <w:t>ואבו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 </w:t>
      </w:r>
      <w:r>
        <w:rPr>
          <w:rtl w:val="true"/>
        </w:rPr>
        <w:t>נשאו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 </w:t>
      </w:r>
      <w:r>
        <w:rPr>
          <w:rtl w:val="true"/>
        </w:rPr>
        <w:t>ואפודים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מטעני</w:t>
      </w:r>
      <w:r>
        <w:rPr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המופעלים</w:t>
      </w:r>
      <w:r>
        <w:rPr>
          <w:rtl w:val="true"/>
        </w:rPr>
        <w:t xml:space="preserve"> </w:t>
      </w:r>
      <w:r>
        <w:rPr>
          <w:rtl w:val="true"/>
        </w:rPr>
        <w:t>בעזרת</w:t>
      </w:r>
      <w:r>
        <w:rPr>
          <w:rtl w:val="true"/>
        </w:rPr>
        <w:t xml:space="preserve"> </w:t>
      </w:r>
      <w:r>
        <w:rPr>
          <w:rtl w:val="true"/>
        </w:rPr>
        <w:t>חוטים</w:t>
      </w:r>
      <w:r>
        <w:rPr>
          <w:rtl w:val="true"/>
        </w:rPr>
        <w:t xml:space="preserve"> </w:t>
      </w:r>
      <w:r>
        <w:rPr>
          <w:rtl w:val="true"/>
        </w:rPr>
        <w:t>וסוללות</w:t>
      </w:r>
      <w:r>
        <w:rPr>
          <w:rtl w:val="true"/>
        </w:rPr>
        <w:t xml:space="preserve"> – </w:t>
      </w:r>
      <w:r>
        <w:rPr>
          <w:rtl w:val="true"/>
        </w:rPr>
        <w:t>שאותם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אמור</w:t>
      </w:r>
      <w:r>
        <w:rPr>
          <w:rtl w:val="true"/>
        </w:rPr>
        <w:t xml:space="preserve"> </w:t>
      </w:r>
      <w:r>
        <w:rPr>
          <w:rtl w:val="true"/>
        </w:rPr>
        <w:t>לפוצץ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יגיעו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ולגרום</w:t>
      </w:r>
      <w:r>
        <w:rPr>
          <w:rtl w:val="true"/>
        </w:rPr>
        <w:t xml:space="preserve"> </w:t>
      </w:r>
      <w:r>
        <w:rPr>
          <w:rtl w:val="true"/>
        </w:rPr>
        <w:t>למותם</w:t>
      </w:r>
      <w:r>
        <w:rPr>
          <w:rtl w:val="true"/>
        </w:rPr>
        <w:t xml:space="preserve">. 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ובתיאום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 </w:t>
      </w:r>
      <w:r>
        <w:rPr>
          <w:rtl w:val="true"/>
        </w:rPr>
        <w:t>שפיקד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חוליה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שמילאה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אנשיה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מטול</w:t>
      </w:r>
      <w:r>
        <w:rPr>
          <w:rtl w:val="true"/>
        </w:rPr>
        <w:t xml:space="preserve"> </w:t>
      </w:r>
      <w:r>
        <w:rPr>
          <w:rtl w:val="true"/>
        </w:rPr>
        <w:t>פצצות</w:t>
      </w:r>
      <w:r>
        <w:rPr>
          <w:rtl w:val="true"/>
        </w:rPr>
        <w:t xml:space="preserve"> </w:t>
      </w:r>
      <w:r>
        <w:rPr/>
        <w:t>RPG</w:t>
      </w:r>
      <w:r>
        <w:rPr>
          <w:rtl w:val="true"/>
        </w:rPr>
        <w:t xml:space="preserve"> </w:t>
      </w:r>
      <w:r>
        <w:rPr>
          <w:rtl w:val="true"/>
        </w:rPr>
        <w:t>ומטענים</w:t>
      </w:r>
      <w:r>
        <w:rPr>
          <w:rtl w:val="true"/>
        </w:rPr>
        <w:t xml:space="preserve">. </w:t>
      </w:r>
      <w:r>
        <w:rPr>
          <w:rtl w:val="true"/>
        </w:rPr>
        <w:t>התיאום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החוליות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 </w:t>
      </w:r>
      <w:r>
        <w:rPr>
          <w:rtl w:val="true"/>
        </w:rPr>
        <w:t>והתצפיות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 </w:t>
      </w:r>
      <w:r>
        <w:rPr>
          <w:rtl w:val="true"/>
        </w:rPr>
        <w:t>חסין</w:t>
      </w:r>
      <w:r>
        <w:rPr>
          <w:rtl w:val="true"/>
        </w:rPr>
        <w:t xml:space="preserve"> </w:t>
      </w:r>
      <w:r>
        <w:rPr>
          <w:rtl w:val="true"/>
        </w:rPr>
        <w:t>אלחמידי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tl w:val="true"/>
        </w:rPr>
        <w:t xml:space="preserve"> </w:t>
      </w:r>
      <w:r>
        <w:rPr>
          <w:rtl w:val="true"/>
        </w:rPr>
        <w:t>בדיר</w:t>
      </w:r>
      <w:r>
        <w:rPr>
          <w:rtl w:val="true"/>
        </w:rPr>
        <w:t xml:space="preserve"> </w:t>
      </w:r>
      <w:r>
        <w:rPr>
          <w:rtl w:val="true"/>
        </w:rPr>
        <w:t>אלבלח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 </w:t>
      </w:r>
      <w:r>
        <w:rPr>
          <w:rtl w:val="true"/>
        </w:rPr>
        <w:t>לגדר</w:t>
      </w:r>
      <w:r>
        <w:rPr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נכנסים</w:t>
      </w:r>
      <w:r>
        <w:rPr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פעם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נענה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הכוחות</w:t>
      </w:r>
      <w:r>
        <w:rPr>
          <w:rtl w:val="true"/>
        </w:rPr>
        <w:t xml:space="preserve"> </w:t>
      </w:r>
      <w:r>
        <w:rPr>
          <w:rtl w:val="true"/>
        </w:rPr>
        <w:t>נכנסו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התריע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חולייתו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התקרבו</w:t>
      </w:r>
      <w:r>
        <w:rPr>
          <w:rtl w:val="true"/>
        </w:rPr>
        <w:t xml:space="preserve"> </w:t>
      </w:r>
      <w:r>
        <w:rPr>
          <w:rtl w:val="true"/>
        </w:rPr>
        <w:t>הכוחות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החוליות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במעשים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בלא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 xml:space="preserve"> </w:t>
      </w:r>
      <w:r>
        <w:rPr>
          <w:rtl w:val="true"/>
        </w:rPr>
        <w:t>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 </w:t>
      </w:r>
      <w:r>
        <w:rPr>
          <w:rtl w:val="true"/>
        </w:rPr>
        <w:t>והשתתף</w:t>
      </w:r>
      <w:r>
        <w:rPr>
          <w:rtl w:val="true"/>
        </w:rPr>
        <w:t xml:space="preserve"> </w:t>
      </w:r>
      <w:r>
        <w:rPr>
          <w:rtl w:val="true"/>
        </w:rPr>
        <w:t>בפעילותה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3"/>
        <w:ind w:end="0"/>
        <w:jc w:val="start"/>
        <w:rPr/>
      </w:pP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השני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כחודש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שבאישום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ולמחמד</w:t>
      </w:r>
      <w:r>
        <w:rPr>
          <w:rtl w:val="true"/>
        </w:rPr>
        <w:t xml:space="preserve"> </w:t>
      </w:r>
      <w:r>
        <w:rPr>
          <w:rtl w:val="true"/>
        </w:rPr>
        <w:t>והציע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להצטרף</w:t>
      </w:r>
      <w:r>
        <w:rPr>
          <w:rtl w:val="true"/>
        </w:rPr>
        <w:t xml:space="preserve"> </w:t>
      </w:r>
      <w:r>
        <w:rPr>
          <w:rtl w:val="true"/>
        </w:rPr>
        <w:t>להטמנת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במרחק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מאות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 </w:t>
      </w:r>
      <w:r>
        <w:rPr>
          <w:rtl w:val="true"/>
        </w:rPr>
        <w:t>מהגבול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ולגרום</w:t>
      </w:r>
      <w:r>
        <w:rPr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 </w:t>
      </w:r>
      <w:r>
        <w:rPr>
          <w:rtl w:val="true"/>
        </w:rPr>
        <w:t>חיילי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וכדי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בדיר</w:t>
      </w:r>
      <w:r>
        <w:rPr>
          <w:rtl w:val="true"/>
        </w:rPr>
        <w:t xml:space="preserve"> </w:t>
      </w:r>
      <w:r>
        <w:rPr>
          <w:rtl w:val="true"/>
        </w:rPr>
        <w:t>אלבלח</w:t>
      </w:r>
      <w:r>
        <w:rPr>
          <w:rtl w:val="true"/>
        </w:rPr>
        <w:t xml:space="preserve">: </w:t>
      </w:r>
      <w:r>
        <w:rPr>
          <w:rtl w:val="true"/>
        </w:rPr>
        <w:t>בלאל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tl w:val="true"/>
        </w:rPr>
        <w:t xml:space="preserve"> </w:t>
      </w:r>
      <w:r>
        <w:rPr>
          <w:rtl w:val="true"/>
        </w:rPr>
        <w:t>ועבדאללה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'</w:t>
      </w:r>
      <w:r>
        <w:rPr>
          <w:rtl w:val="true"/>
        </w:rPr>
        <w:t>אסיב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 </w:t>
      </w:r>
      <w:r>
        <w:rPr>
          <w:rtl w:val="true"/>
        </w:rPr>
        <w:t>אסלאמי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עבדאללה</w:t>
      </w:r>
      <w:r>
        <w:rPr>
          <w:rtl w:val="true"/>
        </w:rPr>
        <w:t xml:space="preserve">") </w:t>
      </w:r>
      <w:r>
        <w:rPr>
          <w:rtl w:val="true"/>
        </w:rPr>
        <w:t>בעגלתו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tl w:val="true"/>
        </w:rPr>
        <w:t xml:space="preserve"> </w:t>
      </w:r>
      <w:r>
        <w:rPr>
          <w:rtl w:val="true"/>
        </w:rPr>
        <w:t>החנו</w:t>
      </w:r>
      <w:r>
        <w:rPr>
          <w:rtl w:val="true"/>
        </w:rPr>
        <w:t xml:space="preserve"> </w:t>
      </w:r>
      <w:r>
        <w:rPr>
          <w:rtl w:val="true"/>
        </w:rPr>
        <w:t>במרחק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השלושה</w:t>
      </w:r>
      <w:r>
        <w:rPr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 </w:t>
      </w:r>
      <w:r>
        <w:rPr>
          <w:rtl w:val="true"/>
        </w:rPr>
        <w:t>בעגלה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מטעני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המטענים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הקטנים</w:t>
      </w:r>
      <w:r>
        <w:rPr>
          <w:rtl w:val="true"/>
        </w:rPr>
        <w:t xml:space="preserve">"), </w:t>
      </w:r>
      <w:r>
        <w:rPr>
          <w:rtl w:val="true"/>
        </w:rPr>
        <w:t>המופעלים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הוסתרו</w:t>
      </w:r>
      <w:r>
        <w:rPr>
          <w:rtl w:val="true"/>
        </w:rPr>
        <w:t xml:space="preserve"> </w:t>
      </w:r>
      <w:r>
        <w:rPr>
          <w:rtl w:val="true"/>
        </w:rPr>
        <w:t>בשק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 </w:t>
      </w:r>
      <w:r>
        <w:rPr>
          <w:rtl w:val="true"/>
        </w:rPr>
        <w:t>הדומה</w:t>
      </w:r>
      <w:r>
        <w:rPr>
          <w:rtl w:val="true"/>
        </w:rPr>
        <w:t xml:space="preserve"> </w:t>
      </w:r>
      <w:r>
        <w:rPr>
          <w:rtl w:val="true"/>
        </w:rPr>
        <w:t>לחבית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המטען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הגדול</w:t>
      </w:r>
      <w:r>
        <w:rPr>
          <w:rtl w:val="true"/>
        </w:rPr>
        <w:t xml:space="preserve">"). 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בעגלה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 </w:t>
      </w:r>
      <w:r>
        <w:rPr>
          <w:rtl w:val="true"/>
        </w:rPr>
        <w:t>ואיתם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 </w:t>
      </w:r>
      <w:r>
        <w:rPr>
          <w:rtl w:val="true"/>
        </w:rPr>
        <w:t>סאמי</w:t>
      </w:r>
      <w:r>
        <w:rPr>
          <w:rtl w:val="true"/>
        </w:rPr>
        <w:t xml:space="preserve"> </w:t>
      </w:r>
      <w:r>
        <w:rPr>
          <w:rtl w:val="true"/>
        </w:rPr>
        <w:t>אלעמור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סאמי</w:t>
      </w:r>
      <w:r>
        <w:rPr>
          <w:rtl w:val="true"/>
        </w:rPr>
        <w:t xml:space="preserve">"),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לאתר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 </w:t>
      </w:r>
      <w:r>
        <w:rPr>
          <w:rtl w:val="true"/>
        </w:rPr>
        <w:t>להטמנת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כמאה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למרחק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 </w:t>
      </w:r>
      <w:r>
        <w:rPr>
          <w:rtl w:val="true"/>
        </w:rPr>
        <w:t>מהגבול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ירדו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ומחמד</w:t>
      </w:r>
      <w:r>
        <w:rPr>
          <w:rtl w:val="true"/>
        </w:rPr>
        <w:t xml:space="preserve"> </w:t>
      </w:r>
      <w:r>
        <w:rPr>
          <w:rtl w:val="true"/>
        </w:rPr>
        <w:t>מהעגלה</w:t>
      </w:r>
      <w:r>
        <w:rPr>
          <w:rtl w:val="true"/>
        </w:rPr>
        <w:t xml:space="preserve"> </w:t>
      </w:r>
      <w:r>
        <w:rPr>
          <w:rtl w:val="true"/>
        </w:rPr>
        <w:t>והורידו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 </w:t>
      </w:r>
      <w:r>
        <w:rPr>
          <w:rtl w:val="true"/>
        </w:rPr>
        <w:t>בעזרתו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סאמי</w:t>
      </w:r>
      <w:r>
        <w:rPr>
          <w:rtl w:val="true"/>
        </w:rPr>
        <w:t xml:space="preserve">. </w:t>
      </w:r>
      <w:r>
        <w:rPr>
          <w:rtl w:val="true"/>
        </w:rPr>
        <w:t>בהנחיית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ומחמד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מטע</w:t>
      </w:r>
      <w:r>
        <w:rPr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, </w:t>
      </w:r>
      <w:r>
        <w:rPr>
          <w:rtl w:val="true"/>
        </w:rPr>
        <w:t>וחיברו</w:t>
      </w:r>
      <w:r>
        <w:rPr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הפעלת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הסתירו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 </w:t>
      </w:r>
      <w:r>
        <w:rPr>
          <w:rtl w:val="true"/>
        </w:rPr>
        <w:t>הגדול</w:t>
      </w:r>
      <w:r>
        <w:rPr>
          <w:rtl w:val="true"/>
        </w:rPr>
        <w:t xml:space="preserve"> </w:t>
      </w:r>
      <w:r>
        <w:rPr>
          <w:rtl w:val="true"/>
        </w:rPr>
        <w:t>בוואדי</w:t>
      </w:r>
      <w:r>
        <w:rPr>
          <w:rtl w:val="true"/>
        </w:rPr>
        <w:t xml:space="preserve"> </w:t>
      </w:r>
      <w:r>
        <w:rPr>
          <w:rtl w:val="true"/>
        </w:rPr>
        <w:t>סלקה</w:t>
      </w:r>
      <w:r>
        <w:rPr>
          <w:rtl w:val="true"/>
        </w:rPr>
        <w:t xml:space="preserve"> </w:t>
      </w:r>
      <w:r>
        <w:rPr>
          <w:rtl w:val="true"/>
        </w:rPr>
        <w:t>וחזרו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הטמנת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לוודא</w:t>
      </w:r>
      <w:r>
        <w:rPr>
          <w:rtl w:val="true"/>
        </w:rPr>
        <w:t xml:space="preserve"> </w:t>
      </w:r>
      <w:r>
        <w:rPr>
          <w:rtl w:val="true"/>
        </w:rPr>
        <w:t>שסוללת</w:t>
      </w:r>
      <w:r>
        <w:rPr>
          <w:rtl w:val="true"/>
        </w:rPr>
        <w:t xml:space="preserve"> </w:t>
      </w:r>
      <w:r>
        <w:rPr>
          <w:rtl w:val="true"/>
        </w:rPr>
        <w:t>מכשיר</w:t>
      </w:r>
      <w:r>
        <w:rPr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 </w:t>
      </w:r>
      <w:r>
        <w:rPr>
          <w:rtl w:val="true"/>
        </w:rPr>
        <w:t>שהוצמד</w:t>
      </w:r>
      <w:r>
        <w:rPr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בדק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 </w:t>
      </w:r>
      <w:r>
        <w:rPr>
          <w:rtl w:val="true"/>
        </w:rPr>
        <w:t>הגדול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 </w:t>
      </w:r>
      <w:r>
        <w:rPr>
          <w:rtl w:val="true"/>
        </w:rPr>
        <w:t>מוסתר</w:t>
      </w:r>
      <w:r>
        <w:rPr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 xml:space="preserve">, </w:t>
      </w:r>
      <w:r>
        <w:rPr>
          <w:rtl w:val="true"/>
        </w:rPr>
        <w:t>והכול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מטעני</w:t>
      </w:r>
      <w:r>
        <w:rPr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 </w:t>
      </w:r>
      <w:r>
        <w:rPr>
          <w:rtl w:val="true"/>
        </w:rPr>
        <w:t>כשיכנסו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ולגרום</w:t>
      </w:r>
      <w:r>
        <w:rPr>
          <w:rtl w:val="true"/>
        </w:rPr>
        <w:t xml:space="preserve"> </w:t>
      </w:r>
      <w:r>
        <w:rPr>
          <w:rtl w:val="true"/>
        </w:rPr>
        <w:t>למותם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החיילים</w:t>
      </w:r>
      <w:r>
        <w:rPr>
          <w:rtl w:val="true"/>
        </w:rPr>
        <w:t xml:space="preserve"> </w:t>
      </w:r>
      <w:r>
        <w:rPr>
          <w:rtl w:val="true"/>
        </w:rPr>
        <w:t>וכדי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הופעלו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שכוחות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פירק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 </w:t>
      </w:r>
      <w:r>
        <w:rPr>
          <w:rtl w:val="true"/>
        </w:rPr>
        <w:t>והעבירם</w:t>
      </w:r>
      <w:r>
        <w:rPr>
          <w:rtl w:val="true"/>
        </w:rPr>
        <w:t xml:space="preserve"> </w:t>
      </w:r>
      <w:r>
        <w:rPr>
          <w:rtl w:val="true"/>
        </w:rPr>
        <w:t>לאבו</w:t>
      </w:r>
      <w:r>
        <w:rPr>
          <w:rtl w:val="true"/>
        </w:rPr>
        <w:t xml:space="preserve"> </w:t>
      </w:r>
      <w:r>
        <w:rPr>
          <w:rtl w:val="true"/>
        </w:rPr>
        <w:t>בלאל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במעשים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 </w:t>
      </w:r>
      <w:r>
        <w:rPr>
          <w:rtl w:val="true"/>
        </w:rPr>
        <w:t>חיילי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3"/>
        <w:ind w:end="0"/>
        <w:jc w:val="start"/>
        <w:rPr/>
      </w:pP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השלישי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בתחילת</w:t>
      </w:r>
      <w:r>
        <w:rPr>
          <w:rtl w:val="true"/>
        </w:rPr>
        <w:t xml:space="preserve"> </w:t>
      </w:r>
      <w:r>
        <w:rPr>
          <w:rtl w:val="true"/>
        </w:rPr>
        <w:t>שנת</w:t>
      </w:r>
      <w:r>
        <w:rPr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הניח</w:t>
      </w:r>
      <w:r>
        <w:rPr>
          <w:rtl w:val="true"/>
        </w:rPr>
        <w:t xml:space="preserve"> </w:t>
      </w:r>
      <w:r>
        <w:rPr>
          <w:rtl w:val="true"/>
        </w:rPr>
        <w:t>סאמי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המופעל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בוואדי</w:t>
      </w:r>
      <w:r>
        <w:rPr>
          <w:rtl w:val="true"/>
        </w:rPr>
        <w:t xml:space="preserve"> </w:t>
      </w:r>
      <w:r>
        <w:rPr>
          <w:rtl w:val="true"/>
        </w:rPr>
        <w:t>סלקה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פעילי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עטיה</w:t>
      </w:r>
      <w:r>
        <w:rPr>
          <w:rtl w:val="true"/>
        </w:rPr>
        <w:t xml:space="preserve"> </w:t>
      </w:r>
      <w:r>
        <w:rPr>
          <w:rtl w:val="true"/>
        </w:rPr>
        <w:t>ואבו</w:t>
      </w:r>
      <w:r>
        <w:rPr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סאמי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התנפיד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, </w:t>
      </w:r>
      <w:r>
        <w:rPr>
          <w:rtl w:val="true"/>
        </w:rPr>
        <w:t>הכוח</w:t>
      </w:r>
      <w:r>
        <w:rPr>
          <w:rtl w:val="true"/>
        </w:rPr>
        <w:t xml:space="preserve"> </w:t>
      </w:r>
      <w:r>
        <w:rPr>
          <w:rtl w:val="true"/>
        </w:rPr>
        <w:t>הביצועי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 </w:t>
      </w:r>
      <w:r>
        <w:rPr>
          <w:rtl w:val="true"/>
        </w:rPr>
        <w:t>ולהביאו</w:t>
      </w:r>
      <w:r>
        <w:rPr>
          <w:rtl w:val="true"/>
        </w:rPr>
        <w:t xml:space="preserve"> </w:t>
      </w:r>
      <w:r>
        <w:rPr>
          <w:rtl w:val="true"/>
        </w:rPr>
        <w:t>לאבו</w:t>
      </w:r>
      <w:r>
        <w:rPr>
          <w:rtl w:val="true"/>
        </w:rPr>
        <w:t xml:space="preserve"> </w:t>
      </w:r>
      <w:r>
        <w:rPr>
          <w:rtl w:val="true"/>
        </w:rPr>
        <w:t>עטיה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נעתר</w:t>
      </w:r>
      <w:r>
        <w:rPr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הלך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עטיה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הטמנת</w:t>
      </w:r>
      <w:r>
        <w:rPr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פירקו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 </w:t>
      </w:r>
      <w:r>
        <w:rPr>
          <w:rtl w:val="true"/>
        </w:rPr>
        <w:t>לאבו</w:t>
      </w:r>
      <w:r>
        <w:rPr>
          <w:rtl w:val="true"/>
        </w:rPr>
        <w:t xml:space="preserve"> </w:t>
      </w:r>
      <w:r>
        <w:rPr>
          <w:rtl w:val="true"/>
        </w:rPr>
        <w:t>עטיה</w:t>
      </w:r>
      <w:r>
        <w:rPr>
          <w:rtl w:val="true"/>
        </w:rPr>
        <w:t xml:space="preserve"> </w:t>
      </w:r>
      <w:r>
        <w:rPr>
          <w:rtl w:val="true"/>
        </w:rPr>
        <w:t>ולאבו</w:t>
      </w:r>
      <w:r>
        <w:rPr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במעשים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</w:p>
    <w:p>
      <w:pPr>
        <w:pStyle w:val="2"/>
        <w:ind w:end="0"/>
        <w:jc w:val="start"/>
        <w:rPr/>
      </w:pPr>
      <w:r>
        <w:rPr>
          <w:rtl w:val="true"/>
        </w:rPr>
        <w:t>הטיעונים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 </w:t>
      </w:r>
      <w:r>
        <w:rPr>
          <w:rtl w:val="true"/>
        </w:rPr>
        <w:t>שבמעשי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ליטול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ולהעביר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לפעילי</w:t>
      </w:r>
      <w:r>
        <w:rPr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שיפעל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ובחייליה</w:t>
      </w:r>
      <w:r>
        <w:rPr>
          <w:rtl w:val="true"/>
        </w:rPr>
        <w:t xml:space="preserve"> </w:t>
      </w:r>
      <w:r>
        <w:rPr>
          <w:rtl w:val="true"/>
        </w:rPr>
        <w:t>יזכה</w:t>
      </w:r>
      <w:r>
        <w:rPr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צמח</w:t>
      </w:r>
      <w:r>
        <w:rPr>
          <w:rtl w:val="true"/>
        </w:rPr>
        <w:t xml:space="preserve"> </w:t>
      </w:r>
      <w:r>
        <w:rPr>
          <w:rtl w:val="true"/>
        </w:rPr>
        <w:t>והתפתח</w:t>
      </w:r>
      <w:r>
        <w:rPr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במי</w:t>
      </w:r>
      <w:r>
        <w:rPr>
          <w:rtl w:val="true"/>
        </w:rPr>
        <w:t xml:space="preserve"> </w:t>
      </w:r>
      <w:r>
        <w:rPr>
          <w:rtl w:val="true"/>
        </w:rPr>
        <w:t>שעסק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בתחזוק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7403/07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30/3/08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הנחת</w:t>
      </w:r>
      <w:r>
        <w:rPr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] </w:t>
      </w:r>
      <w:r>
        <w:rPr>
          <w:rtl w:val="true"/>
        </w:rPr>
        <w:t>וקשירת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למסירת</w:t>
      </w:r>
      <w:r>
        <w:rPr>
          <w:rtl w:val="true"/>
        </w:rPr>
        <w:t xml:space="preserve"> </w:t>
      </w:r>
      <w:r>
        <w:rPr>
          <w:rtl w:val="true"/>
        </w:rPr>
        <w:t>ידיעות</w:t>
      </w:r>
      <w:r>
        <w:rPr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 </w:t>
      </w:r>
      <w:r>
        <w:rPr>
          <w:rtl w:val="true"/>
        </w:rPr>
        <w:t>העלולות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לערוך</w:t>
      </w:r>
      <w:r>
        <w:rPr>
          <w:rtl w:val="true"/>
        </w:rPr>
        <w:t xml:space="preserve"> </w:t>
      </w:r>
      <w:r>
        <w:rPr>
          <w:rtl w:val="true"/>
        </w:rPr>
        <w:t>תצפיות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], </w:t>
      </w:r>
      <w:r>
        <w:rPr>
          <w:rtl w:val="true"/>
        </w:rPr>
        <w:t>ובית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הפחית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ול</w:t>
      </w:r>
      <w:r>
        <w:rPr>
          <w:color w:val="000000"/>
          <w:rtl w:val="true"/>
        </w:rPr>
        <w:t>תפ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 </w:t>
      </w:r>
      <w:hyperlink r:id="rId15">
        <w:r>
          <w:rPr>
            <w:rStyle w:val="Hyperlink"/>
          </w:rPr>
          <w:t>1088/08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עמאוי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6/7/10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 </w:t>
      </w:r>
      <w:r>
        <w:rPr>
          <w:rtl w:val="true"/>
        </w:rPr>
        <w:t>ופעילות</w:t>
      </w:r>
      <w:r>
        <w:rPr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הנחת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] </w:t>
      </w:r>
      <w:r>
        <w:rPr>
          <w:rtl w:val="true"/>
        </w:rPr>
        <w:t>ומתן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מסירת</w:t>
      </w:r>
      <w:r>
        <w:rPr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תנועת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], </w:t>
      </w:r>
      <w:r>
        <w:rPr>
          <w:rtl w:val="true"/>
        </w:rPr>
        <w:t>והושת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וכמו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תקדם</w:t>
      </w:r>
      <w:r>
        <w:rPr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תעורר</w:t>
      </w:r>
      <w:r>
        <w:rPr>
          <w:rtl w:val="true"/>
        </w:rPr>
        <w:t xml:space="preserve"> </w:t>
      </w:r>
      <w:r>
        <w:rPr>
          <w:rtl w:val="true"/>
        </w:rPr>
        <w:t>מדנים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tl w:val="true"/>
        </w:rPr>
        <w:t xml:space="preserve"> </w:t>
      </w:r>
      <w:r>
        <w:rPr>
          <w:rtl w:val="true"/>
        </w:rPr>
        <w:t>שביעות</w:t>
      </w:r>
      <w:r>
        <w:rPr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 </w:t>
      </w:r>
      <w:r>
        <w:rPr>
          <w:rtl w:val="true"/>
        </w:rPr>
        <w:t>וחוסר</w:t>
      </w:r>
      <w:r>
        <w:rPr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הוטעם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הושפע</w:t>
      </w:r>
      <w:r>
        <w:rPr>
          <w:rtl w:val="true"/>
        </w:rPr>
        <w:t xml:space="preserve"> </w:t>
      </w:r>
      <w:r>
        <w:rPr>
          <w:rtl w:val="true"/>
        </w:rPr>
        <w:t>מאחיו</w:t>
      </w:r>
      <w:r>
        <w:rPr>
          <w:rtl w:val="true"/>
        </w:rPr>
        <w:t xml:space="preserve"> </w:t>
      </w:r>
      <w:r>
        <w:rPr>
          <w:rtl w:val="true"/>
        </w:rPr>
        <w:t>המבוגר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גייס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והפעיל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האח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והטרגדיה</w:t>
      </w:r>
      <w:r>
        <w:rPr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 </w:t>
      </w:r>
      <w:r>
        <w:rPr>
          <w:rtl w:val="true"/>
        </w:rPr>
        <w:t>ששני</w:t>
      </w:r>
      <w:r>
        <w:rPr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 </w:t>
      </w:r>
      <w:r>
        <w:rPr>
          <w:rtl w:val="true"/>
        </w:rPr>
        <w:t>מרצים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שכל</w:t>
      </w:r>
      <w:r>
        <w:rPr>
          <w:rtl w:val="true"/>
        </w:rPr>
        <w:t xml:space="preserve"> </w:t>
      </w:r>
      <w:r>
        <w:rPr>
          <w:rtl w:val="true"/>
        </w:rPr>
        <w:t>האלמנטים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באו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משלהי</w:t>
      </w:r>
      <w:r>
        <w:rPr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 </w:t>
      </w:r>
      <w:r>
        <w:rPr>
          <w:rtl w:val="true"/>
        </w:rPr>
        <w:t>באפריל</w:t>
      </w:r>
      <w:r>
        <w:rPr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). </w:t>
      </w:r>
      <w:r>
        <w:rPr>
          <w:rtl w:val="true"/>
        </w:rPr>
        <w:t>הפעילות</w:t>
      </w:r>
      <w:r>
        <w:rPr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: </w:t>
      </w:r>
      <w:r>
        <w:rPr>
          <w:rtl w:val="true"/>
        </w:rPr>
        <w:t>באישום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 </w:t>
      </w:r>
      <w:r>
        <w:rPr>
          <w:rtl w:val="true"/>
        </w:rPr>
        <w:t>בתצפיות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הובילו</w:t>
      </w:r>
      <w:r>
        <w:rPr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; </w:t>
      </w:r>
      <w:r>
        <w:rPr>
          <w:rtl w:val="true"/>
        </w:rPr>
        <w:t>באישום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שהפעיל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ואחרים</w:t>
      </w:r>
      <w:r>
        <w:rPr>
          <w:rtl w:val="true"/>
        </w:rPr>
        <w:t xml:space="preserve"> –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– </w:t>
      </w:r>
      <w:r>
        <w:rPr>
          <w:rtl w:val="true"/>
        </w:rPr>
        <w:t>הביאו</w:t>
      </w:r>
      <w:r>
        <w:rPr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גודלם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tl w:val="true"/>
        </w:rPr>
        <w:t xml:space="preserve"> </w:t>
      </w:r>
      <w:r>
        <w:rPr>
          <w:rtl w:val="true"/>
        </w:rPr>
        <w:t>להטמין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 </w:t>
      </w:r>
      <w:r>
        <w:rPr>
          <w:rtl w:val="true"/>
        </w:rPr>
        <w:t>וסייע</w:t>
      </w:r>
      <w:r>
        <w:rPr>
          <w:rtl w:val="true"/>
        </w:rPr>
        <w:t xml:space="preserve"> </w:t>
      </w:r>
      <w:r>
        <w:rPr>
          <w:rtl w:val="true"/>
        </w:rPr>
        <w:t>לפרקם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הנחת</w:t>
      </w:r>
      <w:r>
        <w:rPr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 </w:t>
      </w:r>
      <w:r>
        <w:rPr>
          <w:rtl w:val="true"/>
        </w:rPr>
        <w:t>בהגעת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יזם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אקטיבית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 </w:t>
      </w:r>
      <w:r>
        <w:rPr>
          <w:rtl w:val="true"/>
        </w:rPr>
        <w:t>בפירוק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הטמין</w:t>
      </w:r>
      <w:r>
        <w:rPr>
          <w:rtl w:val="true"/>
        </w:rPr>
        <w:t xml:space="preserve"> </w:t>
      </w:r>
      <w:r>
        <w:rPr>
          <w:rtl w:val="true"/>
        </w:rPr>
        <w:t>ושלא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בתחומי</w:t>
      </w:r>
      <w:r>
        <w:rPr>
          <w:rtl w:val="true"/>
        </w:rPr>
        <w:t xml:space="preserve"> </w:t>
      </w:r>
      <w:r>
        <w:rPr>
          <w:rtl w:val="true"/>
        </w:rPr>
        <w:t>רצועת</w:t>
      </w:r>
      <w:r>
        <w:rPr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ורובה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בעלת</w:t>
      </w:r>
      <w:r>
        <w:rPr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 </w:t>
      </w:r>
      <w:r>
        <w:rPr>
          <w:rtl w:val="true"/>
        </w:rPr>
        <w:t>פסיבי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 </w:t>
      </w:r>
      <w:r>
        <w:rPr>
          <w:rtl w:val="true"/>
        </w:rPr>
        <w:t>ובנטילת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לעברות</w:t>
      </w:r>
      <w:r>
        <w:rPr>
          <w:rtl w:val="true"/>
        </w:rPr>
        <w:t xml:space="preserve"> </w:t>
      </w:r>
      <w:r>
        <w:rPr>
          <w:rtl w:val="true"/>
        </w:rPr>
        <w:t>למרות</w:t>
      </w:r>
      <w:r>
        <w:rPr>
          <w:rtl w:val="true"/>
        </w:rPr>
        <w:t xml:space="preserve"> </w:t>
      </w:r>
      <w:r>
        <w:rPr>
          <w:rtl w:val="true"/>
        </w:rPr>
        <w:t>פגמים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 </w:t>
      </w:r>
      <w:r>
        <w:rPr>
          <w:rtl w:val="true"/>
        </w:rPr>
        <w:t>לגזרי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רמת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8-6.5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: </w:t>
      </w:r>
      <w:hyperlink r:id="rId16">
        <w:r>
          <w:rPr>
            <w:rStyle w:val="Hyperlink"/>
            <w:rtl w:val="true"/>
          </w:rPr>
          <w:t>בתפ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1058/08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חדאד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 </w:t>
      </w:r>
      <w:r>
        <w:rPr>
          <w:rtl w:val="true"/>
        </w:rPr>
        <w:t>ופעילות</w:t>
      </w:r>
      <w:r>
        <w:rPr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ונשיאת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hyperlink r:id="rId17">
        <w:r>
          <w:rPr>
            <w:rStyle w:val="Hyperlink"/>
            <w:rtl w:val="true"/>
          </w:rPr>
          <w:t>בתפ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1002/07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מחוזי 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כפארנה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 </w:t>
      </w:r>
      <w:r>
        <w:rPr>
          <w:rtl w:val="true"/>
        </w:rPr>
        <w:t>לניסיון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 </w:t>
      </w:r>
      <w:r>
        <w:rPr>
          <w:rtl w:val="true"/>
        </w:rPr>
        <w:t>והובלת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color w:val="000000"/>
          <w:rtl w:val="true"/>
        </w:rPr>
        <w:t>תפ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 </w:t>
      </w:r>
      <w:hyperlink r:id="rId18">
        <w:r>
          <w:rPr>
            <w:rStyle w:val="Hyperlink"/>
          </w:rPr>
          <w:t>1069/08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מחוזי 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צלאח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ליצור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tl w:val="true"/>
        </w:rPr>
        <w:t xml:space="preserve"> </w:t>
      </w:r>
      <w:r>
        <w:rPr>
          <w:rtl w:val="true"/>
        </w:rPr>
        <w:t>ידיעה</w:t>
      </w:r>
      <w:r>
        <w:rPr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 </w:t>
      </w:r>
      <w:r>
        <w:rPr>
          <w:rtl w:val="true"/>
        </w:rPr>
        <w:t>העלולה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; </w:t>
      </w:r>
      <w:hyperlink r:id="rId19">
        <w:r>
          <w:rPr>
            <w:rStyle w:val="Hyperlink"/>
            <w:rtl w:val="true"/>
          </w:rPr>
          <w:t>בתפ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1097/07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רידה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 xml:space="preserve"> </w:t>
      </w:r>
      <w:r>
        <w:rPr>
          <w:rtl w:val="true"/>
        </w:rPr>
        <w:t>ניסיונו</w:t>
      </w:r>
      <w:r>
        <w:rPr>
          <w:rtl w:val="true"/>
        </w:rPr>
        <w:t xml:space="preserve"> </w:t>
      </w:r>
      <w:r>
        <w:rPr>
          <w:rtl w:val="true"/>
        </w:rPr>
        <w:t>להובלת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1086/05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קראם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שיגור</w:t>
      </w:r>
      <w:r>
        <w:rPr>
          <w:rtl w:val="true"/>
        </w:rPr>
        <w:t xml:space="preserve"> </w:t>
      </w:r>
      <w:r>
        <w:rPr>
          <w:rtl w:val="true"/>
        </w:rPr>
        <w:t>טיל</w:t>
      </w:r>
      <w:r>
        <w:rPr>
          <w:rtl w:val="true"/>
        </w:rPr>
        <w:t xml:space="preserve"> </w:t>
      </w:r>
      <w:r>
        <w:rPr>
          <w:rtl w:val="true"/>
        </w:rPr>
        <w:t>והנחת</w:t>
      </w:r>
      <w:r>
        <w:rPr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], </w:t>
      </w:r>
      <w:r>
        <w:rPr>
          <w:rtl w:val="true"/>
        </w:rPr>
        <w:t>הובלת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951/10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אושר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לייצור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tl w:val="true"/>
        </w:rPr>
        <w:t xml:space="preserve"> </w:t>
      </w:r>
      <w:r>
        <w:rPr>
          <w:rtl w:val="true"/>
        </w:rPr>
        <w:t>ידיעות</w:t>
      </w:r>
      <w:r>
        <w:rPr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 </w:t>
      </w:r>
      <w:r>
        <w:rPr>
          <w:rtl w:val="true"/>
        </w:rPr>
        <w:t>ואימונים</w:t>
      </w:r>
      <w:r>
        <w:rPr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5778/09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סנימה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אושר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שש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לניסיון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הנחת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];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1148/07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עקל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מסירת</w:t>
      </w:r>
      <w:r>
        <w:rPr>
          <w:rtl w:val="true"/>
        </w:rPr>
        <w:t xml:space="preserve"> </w:t>
      </w:r>
      <w:r>
        <w:rPr>
          <w:rtl w:val="true"/>
        </w:rPr>
        <w:t>ידיעות</w:t>
      </w:r>
      <w:r>
        <w:rPr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 </w:t>
      </w:r>
      <w:r>
        <w:rPr>
          <w:rtl w:val="true"/>
        </w:rPr>
        <w:t>העלולות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וסיוע</w:t>
      </w:r>
      <w:r>
        <w:rPr>
          <w:rtl w:val="true"/>
        </w:rPr>
        <w:t xml:space="preserve"> </w:t>
      </w:r>
      <w:r>
        <w:rPr>
          <w:rtl w:val="true"/>
        </w:rPr>
        <w:t>לניסיון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hyperlink r:id="rId24"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/</w:t>
        </w:r>
        <w:r>
          <w:rPr>
            <w:rStyle w:val="Hyperlink"/>
            <w:rtl w:val="true"/>
          </w:rPr>
          <w:t>איו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ש </w:t>
        </w:r>
        <w:r>
          <w:rPr>
            <w:rStyle w:val="Hyperlink"/>
          </w:rPr>
          <w:t>74/97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שווארה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התובע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 </w:t>
      </w:r>
      <w:r>
        <w:rPr>
          <w:rtl w:val="true"/>
        </w:rPr>
        <w:t>לערעורים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החלטתו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לכבד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tl w:val="true"/>
        </w:rPr>
        <w:t xml:space="preserve"> </w:t>
      </w:r>
      <w:r>
        <w:rPr>
          <w:rtl w:val="true"/>
        </w:rPr>
        <w:t>עתרו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 </w:t>
      </w:r>
      <w:r>
        <w:rPr>
          <w:rtl w:val="true"/>
        </w:rPr>
        <w:t>ופעילות</w:t>
      </w:r>
      <w:r>
        <w:rPr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יידוי</w:t>
      </w:r>
      <w:r>
        <w:rPr>
          <w:rtl w:val="true"/>
        </w:rPr>
        <w:t xml:space="preserve"> </w:t>
      </w:r>
      <w:r>
        <w:rPr>
          <w:rtl w:val="true"/>
        </w:rPr>
        <w:t>בקבוק</w:t>
      </w:r>
      <w:r>
        <w:rPr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 </w:t>
      </w:r>
      <w:r>
        <w:rPr>
          <w:rtl w:val="true"/>
        </w:rPr>
        <w:t>בשלושה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שמטרתן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בתושבי</w:t>
      </w:r>
      <w:r>
        <w:rPr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לפוצץ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והנחת</w:t>
      </w:r>
      <w:r>
        <w:rPr>
          <w:rtl w:val="true"/>
        </w:rPr>
        <w:t xml:space="preserve"> </w:t>
      </w:r>
      <w:r>
        <w:rPr>
          <w:rtl w:val="true"/>
        </w:rPr>
        <w:t>פצצות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2"/>
        <w:ind w:end="0"/>
        <w:jc w:val="start"/>
        <w:rPr/>
      </w:pPr>
      <w:r>
        <w:rPr>
          <w:rtl w:val="true"/>
        </w:rPr>
        <w:t>דיון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Style13"/>
        <w:ind w:end="0"/>
        <w:jc w:val="both"/>
        <w:rPr/>
      </w:pPr>
      <w:r>
        <w:rPr>
          <w:rFonts w:cs="Times New Roman" w:ascii="Times New Roman" w:hAnsi="Times New Roman"/>
          <w:szCs w:val="24"/>
          <w:rtl w:val="true"/>
          <w:lang w:eastAsia="en-US"/>
        </w:rPr>
        <w:br/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 </w:t>
      </w:r>
      <w:r>
        <w:rPr>
          <w:rtl w:val="true"/>
        </w:rPr>
        <w:t>ונטל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: </w:t>
      </w:r>
      <w:r>
        <w:rPr>
          <w:rtl w:val="true"/>
        </w:rPr>
        <w:t>שמירה</w:t>
      </w:r>
      <w:r>
        <w:rPr>
          <w:rtl w:val="true"/>
        </w:rPr>
        <w:t xml:space="preserve"> </w:t>
      </w:r>
      <w:r>
        <w:rPr>
          <w:rtl w:val="true"/>
        </w:rPr>
        <w:t>חמושה</w:t>
      </w:r>
      <w:r>
        <w:rPr>
          <w:rtl w:val="true"/>
        </w:rPr>
        <w:t xml:space="preserve"> </w:t>
      </w:r>
      <w:r>
        <w:rPr>
          <w:rtl w:val="true"/>
        </w:rPr>
        <w:t>ותצפיות</w:t>
      </w:r>
      <w:r>
        <w:rPr>
          <w:rtl w:val="true"/>
        </w:rPr>
        <w:t xml:space="preserve">, </w:t>
      </w:r>
      <w:r>
        <w:rPr>
          <w:rtl w:val="true"/>
        </w:rPr>
        <w:t>הנחת</w:t>
      </w:r>
      <w:r>
        <w:rPr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 </w:t>
      </w:r>
      <w:r>
        <w:rPr>
          <w:rtl w:val="true"/>
        </w:rPr>
        <w:t>ופירוק</w:t>
      </w:r>
      <w:r>
        <w:rPr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. </w:t>
      </w:r>
      <w:r>
        <w:rPr>
          <w:rtl w:val="true"/>
        </w:rPr>
        <w:t>משנה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הניח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שיועד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 </w:t>
      </w:r>
      <w:r>
        <w:rPr>
          <w:rtl w:val="true"/>
        </w:rPr>
        <w:t>חיילי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>
          <w:rFonts w:ascii="Times New Roman" w:hAnsi="Times New Roman" w:cs="Times New Roman"/>
          <w:szCs w:val="24"/>
          <w:lang w:eastAsia="en-US"/>
        </w:rPr>
      </w:pPr>
      <w:r>
        <w:rPr>
          <w:rtl w:val="true"/>
        </w:rPr>
        <w:tab/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 </w:t>
      </w:r>
      <w:r>
        <w:rPr>
          <w:rtl w:val="true"/>
        </w:rPr>
        <w:t>נפשעת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מצווים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הסכנה</w:t>
      </w:r>
      <w:r>
        <w:rPr>
          <w:rtl w:val="true"/>
        </w:rPr>
        <w:t xml:space="preserve"> </w:t>
      </w:r>
      <w:r>
        <w:rPr>
          <w:rtl w:val="true"/>
        </w:rPr>
        <w:t>הנשקפת</w:t>
      </w:r>
      <w:r>
        <w:rPr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 </w:t>
      </w:r>
      <w:r>
        <w:rPr>
          <w:rtl w:val="true"/>
        </w:rPr>
        <w:t>העומד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 </w:t>
      </w:r>
      <w:r>
        <w:rPr>
          <w:rtl w:val="true"/>
        </w:rPr>
        <w:t>ולהרתיעו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להעביר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נוטל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 </w:t>
      </w:r>
      <w:r>
        <w:rPr>
          <w:rtl w:val="true"/>
        </w:rPr>
        <w:t>מליטול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במישרין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 </w:t>
      </w:r>
      <w:r>
        <w:rPr>
          <w:rtl w:val="true"/>
        </w:rPr>
        <w:t>בפעילות</w:t>
      </w:r>
      <w:r>
        <w:rPr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9349/07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23/6/08</w:t>
      </w:r>
      <w:r>
        <w:rPr>
          <w:rtl w:val="true"/>
        </w:rPr>
        <w:t xml:space="preserve">);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1255/07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קדאס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12/6/08</w:t>
      </w:r>
      <w:r>
        <w:rPr>
          <w:rtl w:val="true"/>
        </w:rPr>
        <w:t xml:space="preserve">). </w:t>
      </w:r>
    </w:p>
    <w:p>
      <w:pPr>
        <w:pStyle w:val="Style13"/>
        <w:ind w:end="0"/>
        <w:jc w:val="both"/>
        <w:rPr>
          <w:rFonts w:ascii="Times New Roman" w:hAnsi="Times New Roman" w:cs="Times New Roman"/>
          <w:szCs w:val="24"/>
          <w:lang w:eastAsia="en-US"/>
        </w:rPr>
      </w:pPr>
      <w:r>
        <w:rPr>
          <w:rFonts w:cs="Times New Roman" w:ascii="Times New Roman" w:hAnsi="Times New Roman"/>
          <w:szCs w:val="24"/>
          <w:rtl w:val="true"/>
          <w:lang w:eastAsia="en-US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 </w:t>
      </w:r>
      <w:r>
        <w:rPr>
          <w:rtl w:val="true"/>
        </w:rPr>
        <w:t>קשת</w:t>
      </w:r>
      <w:r>
        <w:rPr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שאליהם</w:t>
      </w:r>
      <w:r>
        <w:rPr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מפסקי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שאליהם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 </w:t>
      </w:r>
      <w:r>
        <w:rPr>
          <w:rtl w:val="true"/>
        </w:rPr>
        <w:t>עניינם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לניסיון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color w:val="000000"/>
          <w:rtl w:val="true"/>
        </w:rPr>
        <w:t>תפ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1002/07</w:t>
      </w:r>
      <w:r>
        <w:rPr>
          <w:rtl w:val="true"/>
        </w:rPr>
        <w:t xml:space="preserve"> </w:t>
      </w:r>
      <w:r>
        <w:rPr>
          <w:rtl w:val="true"/>
        </w:rPr>
        <w:t>וב</w:t>
      </w:r>
      <w:hyperlink r:id="rId26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1086/05</w:t>
        </w:r>
      </w:hyperlink>
      <w:r>
        <w:rPr>
          <w:rtl w:val="true"/>
        </w:rPr>
        <w:t xml:space="preserve">, </w:t>
      </w:r>
      <w:r>
        <w:rPr>
          <w:rtl w:val="true"/>
        </w:rPr>
        <w:t>שאזכרה</w:t>
      </w:r>
      <w:r>
        <w:rPr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/</w:t>
      </w:r>
      <w:r>
        <w:rPr>
          <w:rtl w:val="true"/>
        </w:rPr>
        <w:t>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 </w:t>
      </w:r>
      <w:r>
        <w:rPr/>
        <w:t>74/97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 </w:t>
      </w:r>
      <w:r>
        <w:rPr>
          <w:rtl w:val="true"/>
        </w:rPr>
        <w:t>לערעורים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שבאותו</w:t>
      </w:r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שנגזרו</w:t>
      </w:r>
      <w:r>
        <w:rPr>
          <w:rtl w:val="true"/>
        </w:rPr>
        <w:t>).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 </w:t>
      </w:r>
      <w:r>
        <w:rPr>
          <w:rtl w:val="true"/>
        </w:rPr>
        <w:t>שהוזכרה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 </w:t>
      </w:r>
      <w:r>
        <w:rPr>
          <w:rtl w:val="true"/>
        </w:rPr>
        <w:t>ולהפנות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1255/07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קדאס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ומתן</w:t>
      </w:r>
      <w:r>
        <w:rPr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 </w:t>
      </w:r>
      <w:r>
        <w:rPr>
          <w:rtl w:val="true"/>
        </w:rPr>
        <w:t>להתאחדות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למעט</w:t>
      </w:r>
      <w:r>
        <w:rPr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 </w:t>
      </w:r>
      <w:r>
        <w:rPr>
          <w:rtl w:val="true"/>
        </w:rPr>
        <w:t>ופעילות</w:t>
      </w:r>
      <w:r>
        <w:rPr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מוכרת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חרף</w:t>
      </w:r>
      <w:r>
        <w:rPr>
          <w:rtl w:val="true"/>
        </w:rPr>
        <w:t xml:space="preserve"> </w:t>
      </w:r>
      <w:r>
        <w:rPr>
          <w:rtl w:val="true"/>
        </w:rPr>
        <w:t>חלוף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הניכר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להגשת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שהטיל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הוחמר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למותר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להגשת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גרמו</w:t>
      </w:r>
      <w:r>
        <w:rPr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 </w:t>
      </w:r>
      <w:r>
        <w:rPr>
          <w:rtl w:val="true"/>
        </w:rPr>
        <w:t>נבע</w:t>
      </w:r>
      <w:r>
        <w:rPr>
          <w:rtl w:val="true"/>
        </w:rPr>
        <w:t xml:space="preserve"> </w:t>
      </w:r>
      <w:r>
        <w:rPr>
          <w:rtl w:val="true"/>
        </w:rPr>
        <w:t>מנסיבות</w:t>
      </w:r>
      <w:r>
        <w:rPr>
          <w:rtl w:val="true"/>
        </w:rPr>
        <w:t xml:space="preserve"> </w:t>
      </w:r>
      <w:r>
        <w:rPr>
          <w:rtl w:val="true"/>
        </w:rPr>
        <w:t>שאינן</w:t>
      </w:r>
      <w:r>
        <w:rPr>
          <w:rtl w:val="true"/>
        </w:rPr>
        <w:t xml:space="preserve"> </w:t>
      </w:r>
      <w:r>
        <w:rPr>
          <w:rtl w:val="true"/>
        </w:rPr>
        <w:t>תלויות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הפסיק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 </w:t>
      </w:r>
      <w:r>
        <w:rPr>
          <w:rtl w:val="true"/>
        </w:rPr>
        <w:t>מרצונו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לזכותו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התחשבנו</w:t>
      </w:r>
      <w:r>
        <w:rPr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בחלקו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יוזם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 </w:t>
      </w:r>
      <w:r>
        <w:rPr>
          <w:rtl w:val="true"/>
        </w:rPr>
        <w:t>ובנסיבותיו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  </w:t>
      </w:r>
      <w:r>
        <w:rPr>
          <w:rtl w:val="true"/>
        </w:rPr>
        <w:t>הצעיר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>).</w:t>
      </w:r>
    </w:p>
    <w:p>
      <w:pPr>
        <w:pStyle w:val="Style13"/>
        <w:ind w:end="0"/>
        <w:jc w:val="both"/>
        <w:rPr/>
      </w:pPr>
      <w:r>
        <w:rPr>
          <w:rFonts w:eastAsia="Times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משקלן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והסיכון</w:t>
      </w:r>
      <w:r>
        <w:rPr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 </w:t>
      </w:r>
      <w:r>
        <w:rPr>
          <w:rtl w:val="true"/>
        </w:rPr>
        <w:t>הטמון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3944/08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שעבאן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18/6/09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9349/07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שנתנו</w:t>
      </w:r>
      <w:r>
        <w:rPr>
          <w:rtl w:val="true"/>
        </w:rPr>
        <w:t xml:space="preserve"> </w:t>
      </w:r>
      <w:r>
        <w:rPr>
          <w:rtl w:val="true"/>
        </w:rPr>
        <w:t>דעתנו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 </w:t>
      </w:r>
      <w:r>
        <w:rPr>
          <w:rtl w:val="true"/>
        </w:rPr>
        <w:t>ולקולה</w:t>
      </w:r>
      <w:r>
        <w:rPr>
          <w:rtl w:val="true"/>
        </w:rPr>
        <w:t xml:space="preserve"> </w:t>
      </w:r>
      <w:r>
        <w:rPr>
          <w:rtl w:val="true"/>
        </w:rPr>
        <w:t>ולאיזון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דלהלן</w:t>
      </w:r>
      <w:r>
        <w:rPr>
          <w:rtl w:val="true"/>
        </w:rPr>
        <w:t xml:space="preserve">: 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1/4/08</w:t>
      </w:r>
      <w:r>
        <w:rPr>
          <w:rtl w:val="true"/>
        </w:rPr>
        <w:t>).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  <w:t>זכות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 היום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 סיון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6"/>
          <w:szCs w:val="26"/>
          <w:lang w:val="en-US" w:eastAsia="en-US"/>
        </w:rPr>
        <w:t>23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יוני </w:t>
      </w:r>
      <w:r>
        <w:rPr>
          <w:rFonts w:cs="Arial" w:ascii="Arial" w:hAnsi="Arial"/>
          <w:sz w:val="26"/>
          <w:szCs w:val="26"/>
          <w:lang w:val="en-US" w:eastAsia="en-US"/>
        </w:rPr>
        <w:t>2011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במעמד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שלמה פרידלנדר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ח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סלוטקי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1074-08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חמאדה עמור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11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611&lt;/CaseID&gt;&#10;        &lt;CaseMonth&gt;16&lt;/CaseMonth&gt;&#10;        &lt;CaseYear&gt;2008&lt;/CaseYear&gt;&#10;        &lt;CaseNumber&gt;11065144&lt;/CaseNumber&gt;&#10;        &lt;NumeratorGroupID&gt;1&lt;/NumeratorGroupID&gt;&#10;        &lt;CaseName&gt;î.é. ôø÷ìéèåú îçåæ ãøåí-ôìéìé ð' òîåø(òöéø)&lt;/CaseName&gt;&#10;        &lt;CourtID&gt;16&lt;/CourtID&gt;&#10;        &lt;CaseTypeID&gt;10077&lt;/CaseTypeID&gt;&#10;        &lt;CaseJudgeName&gt;çðé ñìåè÷é&lt;/CaseJudgeName&gt;&#10;        &lt;ProcedureID&gt;2&lt;/ProcedureID&gt;&#10;        &lt;PreviousCaseYear&gt;2008&lt;/PreviousCaseYear&gt;&#10;        &lt;PreviousCaseNumber&gt;1074&lt;/PreviousCaseNumber&gt;&#10;        &lt;CaseStatusID&gt;1&lt;/CaseStatusID&gt;&#10;        &lt;ProceedingID&gt;2&lt;/ProceedingID&gt;&#10;        &lt;IsCaseLinked&gt;false&lt;/IsCaseLinked&gt;&#10;        &lt;IsCaseConverted&gt;true&lt;/IsCaseConverted&gt;&#10;        &lt;PrivilegeID&gt;1&lt;/PrivilegeID&gt;&#10;        &lt;IsAppealingCaseExist&gt;false&lt;/IsAppealingCaseExist&gt;&#10;        &lt;CaseDisplayIdentifier&gt;1074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2&lt;/CaseNextDeterminingTask&gt;&#10;        &lt;CaseOpenDate&gt;2008-04-25T00:00:00.0000000+03:00&lt;/CaseOpenDate&gt;&#10;        &lt;PleaTypeID&gt;8&lt;/PleaTypeID&gt;&#10;        &lt;CourtLevelID&gt;2&lt;/CourtLevelID&gt;&#10;        &lt;CaseJudgeFirstName&gt;çðé&lt;/CaseJudgeFirstName&gt;&#10;        &lt;CaseJudgeLastName&gt;ñìåè÷é&lt;/CaseJudgeLastName&gt;&#10;        &lt;JudicalPersonID&gt;007076789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PreviousCourtID&gt;55&lt;/PreviousCourtID&gt;&#10;        &lt;PreviousCaseTypeID&gt;74&lt;/PreviousCaseTypeID&gt;&#10;        &lt;CaseDesc&gt;äçìèä îéåí 10.4.11 ðùìçä ìöããéí åìùá&quot;ñ áô÷ñ&lt;/CaseDesc&gt;&#10;        &lt;isExistMinorSide&gt;false&lt;/isExistMinorSide&gt;&#10;        &lt;isExistMinorWitness&gt;false&lt;/isExistMinorWitness&gt;&#10;        &lt;PreviousCaseIdentifier&gt;055ôç 200800107400&lt;/PreviousCaseIdentifier&gt;&#10;        &lt;IsDecisionTypeZaveElyon&gt;false&lt;/IsDecisionTypeZaveElyon&gt;&#10;        &lt;IsExistPrisoner&gt;true&lt;/IsExistPrisoner&gt;&#10;        &lt;IsExistDetainee&gt;true&lt;/IsExistDetainee&gt;&#10;        &lt;IsDebitExist&gt;false&lt;/IsDebitExist&gt;&#10;        &lt;DebitExsitDate&gt;2011-06-23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611&lt;/CaseID&gt;&#10;        &lt;CaseMonth&gt;16&lt;/CaseMonth&gt;&#10;        &lt;CaseYear&gt;2008&lt;/CaseYear&gt;&#10;        &lt;CaseNumber&gt;11065144&lt;/CaseNumber&gt;&#10;        &lt;NumeratorGroupID&gt;1&lt;/NumeratorGroupID&gt;&#10;        &lt;CaseName&gt;î.é. ôø÷ìéèåú îçåæ ãøåí-ôìéìé ð' òîåø(òöéø)&lt;/CaseName&gt;&#10;        &lt;CourtID&gt;16&lt;/CourtID&gt;&#10;        &lt;CaseTypeID&gt;10077&lt;/CaseTypeID&gt;&#10;        &lt;CaseJudgeName&gt;çðé ñìåè÷é&lt;/CaseJudgeName&gt;&#10;        &lt;ProcedureID&gt;2&lt;/ProcedureID&gt;&#10;        &lt;PreviousCaseYear&gt;2008&lt;/PreviousCaseYear&gt;&#10;        &lt;PreviousCaseNumber&gt;1074&lt;/PreviousCaseNumber&gt;&#10;        &lt;CaseStatusID&gt;1&lt;/CaseStatusID&gt;&#10;        &lt;ProceedingID&gt;2&lt;/ProceedingID&gt;&#10;        &lt;IsCaseLinked&gt;false&lt;/IsCaseLinked&gt;&#10;        &lt;IsCaseConverted&gt;true&lt;/IsCaseConverted&gt;&#10;        &lt;PrivilegeID&gt;1&lt;/PrivilegeID&gt;&#10;        &lt;IsAppealingCaseExist&gt;false&lt;/IsAppealingCaseExist&gt;&#10;        &lt;CaseDisplayIdentifier&gt;1074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2&lt;/CaseNextDeterminingTask&gt;&#10;        &lt;CaseOpenDate&gt;2008-04-25T00:00:00.0000000+03:00&lt;/CaseOpenDate&gt;&#10;        &lt;PleaTypeID&gt;8&lt;/PleaTypeID&gt;&#10;        &lt;CourtLevelID&gt;2&lt;/CourtLevelID&gt;&#10;        &lt;CaseJudgeFirstName&gt;çðé&lt;/CaseJudgeFirstName&gt;&#10;        &lt;CaseJudgeLastName&gt;ñìåè÷é&lt;/CaseJudgeLastName&gt;&#10;        &lt;JudicalPersonID&gt;007076789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PreviousCourtID&gt;55&lt;/PreviousCourtID&gt;&#10;        &lt;PreviousCaseTypeID&gt;74&lt;/PreviousCaseTypeID&gt;&#10;        &lt;CaseDesc&gt;äçìèä îéåí 10.4.11 ðùìçä ìöããéí åìùá&quot;ñ áô÷ñ&lt;/CaseDesc&gt;&#10;        &lt;PreviousCaseIdentifier&gt;055ôç 2008001074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6664947&lt;/DecisionID&gt;&#10;        &lt;DecisionName&gt;âæø ãéï  îúàøéê  23/06/11  ùðéúðä ò&quot;é  îøãëé ìåé&lt;/DecisionName&gt;&#10;        &lt;DecisionStatusID&gt;1&lt;/DecisionStatusID&gt;&#10;        &lt;DecisionStatusChangeDate&gt;2011-06-23T10:25:34.2530000+03:00&lt;/DecisionStatusChangeDate&gt;&#10;        &lt;DecisionSignatureDate&gt;2011-06-23T10:14:54.0130000+03:00&lt;/DecisionSignatureDate&gt;&#10;        &lt;DecisionSignatureUserID&gt;012338992@GOV.IL&lt;/DecisionSignatureUserID&gt;&#10;        &lt;DecisionCreateDate&gt;2011-06-23T10:20:03.1030000+03:00&lt;/DecisionCreateDate&gt;&#10;        &lt;DecisionChangeDate&gt;2011-06-23T10:25:34.1700000+03:00&lt;/DecisionChangeDate&gt;&#10;        &lt;DecisionChangeUserID&gt;012338992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22662296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12338992@GOV.IL&lt;/DecisionWriterID&gt;&#10;        &lt;IsInstruction&gt;false&lt;/IsInstruction&gt;&#10;        &lt;IsNeedAllSignatures&gt;false&lt;/IsNeedAllSignatures&gt;&#10;        &lt;DecisionAttributeID&gt;1&lt;/DecisionAttributeID&gt;&#10;        &lt;DecisionCreationUserID&gt;012338992@GOV.IL&lt;/DecisionCreationUserID&gt;&#10;        &lt;DecisionDisplayName&gt;âæø ãéï  îúàøéê  23/06/11  ùðéúðä ò&quot;é  îøãëé ìåé&lt;/DecisionDisplayName&gt;&#10;        &lt;IsScanned&gt;false&lt;/IsScanned&gt;&#10;        &lt;DecisionSignatureUserName&gt;îøãëé ìåé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6664947&lt;/DecisionID&gt;&#10;        &lt;CaseID&gt;32754611&lt;/CaseID&gt;&#10;        &lt;IsOriginal&gt;true&lt;/IsOriginal&gt;&#10;        &lt;IsDeleted&gt;false&lt;/IsDeleted&gt;&#10;        &lt;CaseName&gt;î.é. ôø÷ìéèåú îçåæ ãøåí-ôìéìé ð' òîåø(òöéø)&lt;/CaseName&gt;&#10;        &lt;CaseDisplayIdentifier&gt;1074-08 úô&quot;ç&lt;/CaseDisplayIdentifier&gt;&#10;      &lt;/dt_DecisionCase&gt;&#10;      &lt;dt_DecisionJudgePanel diffgr:id=&quot;dt_DecisionJudgePanel1&quot; msdata:rowOrder=&quot;0&quot;&gt;&#10;        &lt;DecisionID&gt;76664947&lt;/DecisionID&gt;&#10;        &lt;JudgeID&gt;007076789@GOV.IL&lt;/JudgeID&gt;&#10;        &lt;OrdinalNumber&gt;1&lt;/OrdinalNumber&gt;&#10;      &lt;/dt_DecisionJudgePanel&gt;&#10;      &lt;dt_DecisionJudgePanel diffgr:id=&quot;dt_DecisionJudgePanel2&quot; msdata:rowOrder=&quot;1&quot;&gt;&#10;        &lt;DecisionID&gt;76664947&lt;/DecisionID&gt;&#10;        &lt;JudgeID&gt;012338992@GOV.IL&lt;/JudgeID&gt;&#10;        &lt;OrdinalNumber&gt;2&lt;/OrdinalNumber&gt;&#10;      &lt;/dt_DecisionJudgePanel&gt;&#10;      &lt;dt_DecisionJudgePanel diffgr:id=&quot;dt_DecisionJudgePanel3&quot; msdata:rowOrder=&quot;2&quot;&gt;&#10;        &lt;DecisionID&gt;76664947&lt;/DecisionID&gt;&#10;        &lt;JudgeID&gt;057099871@GOV.IL&lt;/JudgeID&gt;&#10;        &lt;OrdinalNumber&gt;3&lt;/OrdinalNumber&gt;&#10;      &lt;/dt_DecisionJudgePanel&gt;&#10;    &lt;/DecisionDS&gt;&#10;  &lt;/diffgr:diffgram&gt;&#10;&lt;/DecisionDS&gt;"/>
    <w:docVar w:name="DecisionID" w:val="76664947"/>
    <w:docVar w:name="docID" w:val="122662296"/>
    <w:docVar w:name="judgeUPN" w:val="012338992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12338992@GOV.IL"/>
    <w:docVar w:name="noteDocID" w:val="122662296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Style11">
    <w:name w:val="תבנית רגיל תו"/>
    <w:qFormat/>
    <w:rPr>
      <w:rFonts w:ascii="Times" w:hAnsi="Times" w:cs="David"/>
      <w:sz w:val="26"/>
      <w:szCs w:val="26"/>
      <w:lang w:val="en-US" w:bidi="he-IL"/>
    </w:rPr>
  </w:style>
  <w:style w:type="character" w:styleId="normal-h">
    <w:name w:val="normal-h"/>
    <w:qFormat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Style12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3">
    <w:name w:val="תבנית רגיל"/>
    <w:basedOn w:val="Normal"/>
    <w:qFormat/>
    <w:pPr>
      <w:spacing w:lineRule="auto" w:line="360"/>
      <w:ind w:hanging="0" w:start="0" w:end="0"/>
      <w:jc w:val="both"/>
    </w:pPr>
    <w:rPr>
      <w:rFonts w:ascii="Times" w:hAnsi="Times" w:cs="Times"/>
      <w:szCs w:val="26"/>
    </w:rPr>
  </w:style>
  <w:style w:type="paragraph" w:styleId="2">
    <w:name w:val="תבנית כותרת 2"/>
    <w:basedOn w:val="Heading2"/>
    <w:next w:val="Style13"/>
    <w:qFormat/>
    <w:pPr>
      <w:numPr>
        <w:ilvl w:val="0"/>
        <w:numId w:val="0"/>
      </w:numPr>
      <w:ind w:firstLine="720" w:start="0" w:end="0"/>
      <w:jc w:val="start"/>
      <w:outlineLvl w:val="9"/>
    </w:pPr>
    <w:rPr>
      <w:rFonts w:cs="Miriam"/>
      <w:b w:val="false"/>
      <w:bCs w:val="false"/>
      <w:i w:val="false"/>
      <w:iCs w:val="false"/>
      <w:szCs w:val="24"/>
      <w:u w:val="single"/>
    </w:rPr>
  </w:style>
  <w:style w:type="paragraph" w:styleId="3">
    <w:name w:val="תבנית כותרת 3"/>
    <w:basedOn w:val="2"/>
    <w:next w:val="Style13"/>
    <w:qFormat/>
    <w:pPr>
      <w:ind w:firstLine="720" w:start="0" w:end="0"/>
      <w:jc w:val="start"/>
    </w:pPr>
    <w:rPr>
      <w:u w:val="none"/>
    </w:rPr>
  </w:style>
  <w:style w:type="paragraph" w:styleId="1">
    <w:name w:val="תבנית כותרת 1"/>
    <w:basedOn w:val="2"/>
    <w:next w:val="Style13"/>
    <w:qFormat/>
    <w:pPr>
      <w:spacing w:lineRule="auto" w:line="360"/>
      <w:ind w:firstLine="720" w:start="0" w:end="0"/>
      <w:jc w:val="center"/>
    </w:pPr>
    <w:rPr>
      <w:rFonts w:cs="FrankRuehl"/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c" TargetMode="External"/><Relationship Id="rId4" Type="http://schemas.openxmlformats.org/officeDocument/2006/relationships/hyperlink" Target="http://www.nevo.co.il/law/73729/85.a.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3729/85.a.1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05.1" TargetMode="External"/><Relationship Id="rId13" Type="http://schemas.openxmlformats.org/officeDocument/2006/relationships/hyperlink" Target="http://www.nevo.co.il/law/73729/85.1.c" TargetMode="External"/><Relationship Id="rId14" Type="http://schemas.openxmlformats.org/officeDocument/2006/relationships/hyperlink" Target="http://www.nevo.co.il/case/6102964" TargetMode="External"/><Relationship Id="rId15" Type="http://schemas.openxmlformats.org/officeDocument/2006/relationships/hyperlink" Target="http://www.nevo.co.il/case/2493257" TargetMode="External"/><Relationship Id="rId16" Type="http://schemas.openxmlformats.org/officeDocument/2006/relationships/hyperlink" Target="http://www.nevo.co.il/case/2503002" TargetMode="External"/><Relationship Id="rId17" Type="http://schemas.openxmlformats.org/officeDocument/2006/relationships/hyperlink" Target="http://www.nevo.co.il/case/538821" TargetMode="External"/><Relationship Id="rId18" Type="http://schemas.openxmlformats.org/officeDocument/2006/relationships/hyperlink" Target="http://www.nevo.co.il/case/2377995" TargetMode="External"/><Relationship Id="rId19" Type="http://schemas.openxmlformats.org/officeDocument/2006/relationships/hyperlink" Target="http://www.nevo.co.il/case/541491" TargetMode="External"/><Relationship Id="rId20" Type="http://schemas.openxmlformats.org/officeDocument/2006/relationships/hyperlink" Target="http://www.nevo.co.il/case/2256170" TargetMode="External"/><Relationship Id="rId21" Type="http://schemas.openxmlformats.org/officeDocument/2006/relationships/hyperlink" Target="http://www.nevo.co.il/case/6249199" TargetMode="External"/><Relationship Id="rId22" Type="http://schemas.openxmlformats.org/officeDocument/2006/relationships/hyperlink" Target="http://www.nevo.co.il/case/6032353" TargetMode="External"/><Relationship Id="rId23" Type="http://schemas.openxmlformats.org/officeDocument/2006/relationships/hyperlink" Target="http://www.nevo.co.il/case/542951" TargetMode="External"/><Relationship Id="rId24" Type="http://schemas.openxmlformats.org/officeDocument/2006/relationships/hyperlink" Target="http://www.nevo.co.il/case/20284931" TargetMode="External"/><Relationship Id="rId25" Type="http://schemas.openxmlformats.org/officeDocument/2006/relationships/hyperlink" Target="http://www.nevo.co.il/case/6150971" TargetMode="External"/><Relationship Id="rId26" Type="http://schemas.openxmlformats.org/officeDocument/2006/relationships/hyperlink" Target="http://www.nevo.co.il/case/2256170" TargetMode="External"/><Relationship Id="rId27" Type="http://schemas.openxmlformats.org/officeDocument/2006/relationships/hyperlink" Target="http://www.nevo.co.il/case/5872863" TargetMode="External"/><Relationship Id="rId28" Type="http://schemas.openxmlformats.org/officeDocument/2006/relationships/hyperlink" Target="http://www.nevo.co.il/case/615097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2016-04-26T11:23:00Z</dcterms:created>
  <dc:creator> </dc:creator>
  <dc:description/>
  <cp:keywords/>
  <dc:language>en-IL</dc:language>
  <cp:lastModifiedBy>run</cp:lastModifiedBy>
  <cp:lastPrinted>2011-06-23T10:25:00Z</cp:lastPrinted>
  <dcterms:modified xsi:type="dcterms:W3CDTF">2016-04-26T11:23:00Z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חמאדה עמור</vt:lpwstr>
  </property>
  <property fmtid="{D5CDD505-2E9C-101B-9397-08002B2CF9AE}" pid="4" name="CASESLISTTMP1">
    <vt:lpwstr>6102964;2493257;2503002;538821;2377995;541491;2256170:2;6249199;6032353;542951;20284931;6150971:2;5872863</vt:lpwstr>
  </property>
  <property fmtid="{D5CDD505-2E9C-101B-9397-08002B2CF9AE}" pid="5" name="CITY">
    <vt:lpwstr>ב"ש</vt:lpwstr>
  </property>
  <property fmtid="{D5CDD505-2E9C-101B-9397-08002B2CF9AE}" pid="6" name="DATE">
    <vt:lpwstr>20110623</vt:lpwstr>
  </property>
  <property fmtid="{D5CDD505-2E9C-101B-9397-08002B2CF9AE}" pid="7" name="ISABSTRACT">
    <vt:lpwstr>Y</vt:lpwstr>
  </property>
  <property fmtid="{D5CDD505-2E9C-101B-9397-08002B2CF9AE}" pid="8" name="JUDGE">
    <vt:lpwstr>ח' סלוטקי;מ' לוי;ש' פרידלנדר</vt:lpwstr>
  </property>
  <property fmtid="{D5CDD505-2E9C-101B-9397-08002B2CF9AE}" pid="9" name="LAWLISTTMP1">
    <vt:lpwstr>73729/085.a.1;085.1.c</vt:lpwstr>
  </property>
  <property fmtid="{D5CDD505-2E9C-101B-9397-08002B2CF9AE}" pid="10" name="LAWLISTTMP2">
    <vt:lpwstr>70301/144.b;305.1</vt:lpwstr>
  </property>
  <property fmtid="{D5CDD505-2E9C-101B-9397-08002B2CF9AE}" pid="11" name="LAWYER">
    <vt:lpwstr> ערן צברי</vt:lpwstr>
  </property>
  <property fmtid="{D5CDD505-2E9C-101B-9397-08002B2CF9AE}" pid="12" name="NEWPARTA">
    <vt:lpwstr>1074</vt:lpwstr>
  </property>
  <property fmtid="{D5CDD505-2E9C-101B-9397-08002B2CF9AE}" pid="13" name="NEWPARTB">
    <vt:lpwstr/>
  </property>
  <property fmtid="{D5CDD505-2E9C-101B-9397-08002B2CF9AE}" pid="14" name="NEWPARTC">
    <vt:lpwstr>08</vt:lpwstr>
  </property>
  <property fmtid="{D5CDD505-2E9C-101B-9397-08002B2CF9AE}" pid="15" name="NEWPROC">
    <vt:lpwstr>תפח</vt:lpwstr>
  </property>
  <property fmtid="{D5CDD505-2E9C-101B-9397-08002B2CF9AE}" pid="16" name="PROCNUM">
    <vt:lpwstr>1074</vt:lpwstr>
  </property>
  <property fmtid="{D5CDD505-2E9C-101B-9397-08002B2CF9AE}" pid="17" name="PROCYEAR">
    <vt:lpwstr>08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390020110623</vt:lpwstr>
  </property>
  <property fmtid="{D5CDD505-2E9C-101B-9397-08002B2CF9AE}" pid="21" name="TYPE_N_DATE">
    <vt:lpwstr>39020110623</vt:lpwstr>
  </property>
  <property fmtid="{D5CDD505-2E9C-101B-9397-08002B2CF9AE}" pid="22" name="WORDNUMPAGES">
    <vt:lpwstr>8</vt:lpwstr>
  </property>
</Properties>
</file>